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3DDB" w:rsidRPr="009E384F" w:rsidRDefault="00EC3DDB" w:rsidP="00EC3DDB">
      <w:pPr>
        <w:spacing w:before="200"/>
        <w:rPr>
          <w:rFonts w:asciiTheme="majorHAnsi" w:hAnsiTheme="majorHAnsi" w:cstheme="majorHAnsi"/>
          <w:i/>
          <w:iCs/>
          <w:szCs w:val="24"/>
        </w:rPr>
      </w:pPr>
      <w:r>
        <w:rPr>
          <w:rFonts w:asciiTheme="majorHAnsi" w:hAnsiTheme="majorHAnsi" w:cstheme="majorHAnsi"/>
          <w:i/>
          <w:iCs/>
          <w:szCs w:val="24"/>
        </w:rPr>
        <w:t>Graf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: </w:t>
      </w:r>
      <w:r>
        <w:rPr>
          <w:rFonts w:asciiTheme="majorHAnsi" w:hAnsiTheme="majorHAnsi" w:cstheme="majorHAnsi"/>
          <w:i/>
          <w:iCs/>
          <w:szCs w:val="24"/>
        </w:rPr>
        <w:t xml:space="preserve">Incidence hepatitidy A </w:t>
      </w:r>
      <w:r w:rsidRPr="000C6D39">
        <w:rPr>
          <w:rFonts w:asciiTheme="majorHAnsi" w:hAnsiTheme="majorHAnsi" w:cstheme="majorHAnsi"/>
          <w:i/>
          <w:iCs/>
          <w:szCs w:val="24"/>
        </w:rPr>
        <w:t>v </w:t>
      </w:r>
      <w:r w:rsidRPr="000C6D39">
        <w:rPr>
          <w:i/>
          <w:iCs/>
          <w:szCs w:val="24"/>
        </w:rPr>
        <w:t xml:space="preserve">SO ORP Benešov, České republice a Středočeském kraji v letech 2006 až 2017, </w:t>
      </w:r>
      <w:r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>muži i ženy</w:t>
      </w:r>
      <w:r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celkem</w:t>
      </w:r>
      <w:r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 </w:t>
      </w:r>
    </w:p>
    <w:p w:rsidR="00EC3DDB" w:rsidRPr="008213B6" w:rsidRDefault="00EC3DDB" w:rsidP="00EC3DDB">
      <w:pPr>
        <w:rPr>
          <w:szCs w:val="24"/>
        </w:rPr>
      </w:pPr>
      <w:r>
        <w:rPr>
          <w:noProof/>
          <w:lang w:eastAsia="cs-CZ"/>
        </w:rPr>
        <w:drawing>
          <wp:inline distT="0" distB="0" distL="0" distR="0" wp14:anchorId="345B8E89" wp14:editId="3777E0AE">
            <wp:extent cx="5760000" cy="3600000"/>
            <wp:effectExtent l="0" t="0" r="12700" b="635"/>
            <wp:docPr id="25" name="Graf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C3DDB" w:rsidRDefault="00EC3DDB" w:rsidP="00EC3DDB">
      <w:pPr>
        <w:spacing w:before="200"/>
        <w:rPr>
          <w:rFonts w:asciiTheme="majorHAnsi" w:hAnsiTheme="majorHAnsi" w:cstheme="majorHAnsi"/>
          <w:i/>
          <w:iCs/>
          <w:szCs w:val="24"/>
        </w:rPr>
      </w:pPr>
    </w:p>
    <w:p w:rsidR="00EC3DDB" w:rsidRDefault="00EC3DDB" w:rsidP="00EC3DDB">
      <w:pPr>
        <w:spacing w:before="200"/>
        <w:rPr>
          <w:rFonts w:asciiTheme="majorHAnsi" w:hAnsiTheme="majorHAnsi" w:cstheme="majorHAnsi"/>
          <w:i/>
          <w:iCs/>
          <w:szCs w:val="24"/>
        </w:rPr>
      </w:pPr>
      <w:bookmarkStart w:id="0" w:name="_GoBack"/>
      <w:bookmarkEnd w:id="0"/>
      <w:r>
        <w:rPr>
          <w:rFonts w:asciiTheme="majorHAnsi" w:hAnsiTheme="majorHAnsi" w:cstheme="majorHAnsi"/>
          <w:i/>
          <w:iCs/>
          <w:szCs w:val="24"/>
        </w:rPr>
        <w:t>Graf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: </w:t>
      </w:r>
      <w:r>
        <w:rPr>
          <w:rFonts w:asciiTheme="majorHAnsi" w:hAnsiTheme="majorHAnsi" w:cstheme="majorHAnsi"/>
          <w:i/>
          <w:iCs/>
          <w:szCs w:val="24"/>
        </w:rPr>
        <w:t xml:space="preserve">Incidence hepatitidy B </w:t>
      </w:r>
      <w:r w:rsidRPr="000C6D39">
        <w:rPr>
          <w:rFonts w:asciiTheme="majorHAnsi" w:hAnsiTheme="majorHAnsi" w:cstheme="majorHAnsi"/>
          <w:i/>
          <w:iCs/>
          <w:szCs w:val="24"/>
        </w:rPr>
        <w:t>v </w:t>
      </w:r>
      <w:r w:rsidRPr="000C6D39">
        <w:rPr>
          <w:i/>
          <w:iCs/>
          <w:szCs w:val="24"/>
        </w:rPr>
        <w:t xml:space="preserve">SO ORP Benešov, České republice a Středočeském kraji v letech 2006 až 2017, </w:t>
      </w:r>
      <w:r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>muži i ženy</w:t>
      </w:r>
      <w:r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celkem</w:t>
      </w:r>
      <w:r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 </w:t>
      </w:r>
    </w:p>
    <w:p w:rsidR="00EC3DDB" w:rsidRDefault="00EC3DDB" w:rsidP="00EC3DDB">
      <w:pPr>
        <w:spacing w:before="200"/>
        <w:rPr>
          <w:rFonts w:asciiTheme="majorHAnsi" w:hAnsiTheme="majorHAnsi" w:cstheme="majorHAnsi"/>
          <w:i/>
          <w:iCs/>
          <w:szCs w:val="24"/>
        </w:rPr>
      </w:pPr>
      <w:r>
        <w:rPr>
          <w:noProof/>
          <w:lang w:eastAsia="cs-CZ"/>
        </w:rPr>
        <w:drawing>
          <wp:inline distT="0" distB="0" distL="0" distR="0" wp14:anchorId="0CF354EC" wp14:editId="6E0D8FD0">
            <wp:extent cx="5760000" cy="3600000"/>
            <wp:effectExtent l="0" t="0" r="12700" b="635"/>
            <wp:docPr id="26" name="Graf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C3DDB" w:rsidRPr="009E384F" w:rsidRDefault="00EC3DDB" w:rsidP="00EC3DDB">
      <w:pPr>
        <w:spacing w:before="200"/>
        <w:rPr>
          <w:rFonts w:asciiTheme="majorHAnsi" w:hAnsiTheme="majorHAnsi" w:cstheme="majorHAnsi"/>
          <w:i/>
          <w:iCs/>
          <w:szCs w:val="24"/>
        </w:rPr>
      </w:pPr>
      <w:r>
        <w:rPr>
          <w:rFonts w:asciiTheme="majorHAnsi" w:hAnsiTheme="majorHAnsi" w:cstheme="majorHAnsi"/>
          <w:i/>
          <w:iCs/>
          <w:szCs w:val="24"/>
        </w:rPr>
        <w:lastRenderedPageBreak/>
        <w:t>Graf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: </w:t>
      </w:r>
      <w:r>
        <w:rPr>
          <w:rFonts w:asciiTheme="majorHAnsi" w:hAnsiTheme="majorHAnsi" w:cstheme="majorHAnsi"/>
          <w:i/>
          <w:iCs/>
          <w:szCs w:val="24"/>
        </w:rPr>
        <w:t xml:space="preserve">Incidence hepatitidy C </w:t>
      </w:r>
      <w:r w:rsidRPr="000C6D39">
        <w:rPr>
          <w:rFonts w:asciiTheme="majorHAnsi" w:hAnsiTheme="majorHAnsi" w:cstheme="majorHAnsi"/>
          <w:i/>
          <w:iCs/>
          <w:szCs w:val="24"/>
        </w:rPr>
        <w:t>v </w:t>
      </w:r>
      <w:r w:rsidRPr="000C6D39">
        <w:rPr>
          <w:i/>
          <w:iCs/>
          <w:szCs w:val="24"/>
        </w:rPr>
        <w:t xml:space="preserve">SO ORP Benešov, České republice a Středočeském kraji v letech 2006 až 2017, </w:t>
      </w:r>
      <w:r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>muži i ženy</w:t>
      </w:r>
      <w:r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celkem</w:t>
      </w:r>
      <w:r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 </w:t>
      </w:r>
    </w:p>
    <w:p w:rsidR="00EC3DDB" w:rsidRPr="009E384F" w:rsidRDefault="00EC3DDB" w:rsidP="00EC3DDB">
      <w:pPr>
        <w:spacing w:before="200"/>
        <w:rPr>
          <w:rFonts w:asciiTheme="majorHAnsi" w:hAnsiTheme="majorHAnsi" w:cstheme="majorHAnsi"/>
          <w:i/>
          <w:iCs/>
          <w:szCs w:val="24"/>
        </w:rPr>
      </w:pPr>
      <w:r>
        <w:rPr>
          <w:noProof/>
          <w:lang w:eastAsia="cs-CZ"/>
        </w:rPr>
        <w:drawing>
          <wp:inline distT="0" distB="0" distL="0" distR="0" wp14:anchorId="1953139A" wp14:editId="2323CA4C">
            <wp:extent cx="5760000" cy="3600000"/>
            <wp:effectExtent l="0" t="0" r="12700" b="635"/>
            <wp:docPr id="57" name="Graf 5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A3513" w:rsidRPr="005E4727" w:rsidRDefault="00AA3513" w:rsidP="005E4727">
      <w:pPr>
        <w:pStyle w:val="Titulek"/>
        <w:rPr>
          <w:rFonts w:asciiTheme="majorHAnsi" w:hAnsiTheme="majorHAnsi" w:cstheme="majorHAnsi"/>
          <w:b w:val="0"/>
          <w:color w:val="auto"/>
          <w:sz w:val="22"/>
          <w:szCs w:val="22"/>
        </w:rPr>
      </w:pPr>
    </w:p>
    <w:sectPr w:rsidR="00AA3513" w:rsidRPr="005E4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183" w:rsidRDefault="00144183" w:rsidP="004A4E57">
      <w:pPr>
        <w:spacing w:after="0"/>
      </w:pPr>
      <w:r>
        <w:separator/>
      </w:r>
    </w:p>
  </w:endnote>
  <w:endnote w:type="continuationSeparator" w:id="0">
    <w:p w:rsidR="00144183" w:rsidRDefault="00144183" w:rsidP="004A4E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183" w:rsidRDefault="00144183" w:rsidP="004A4E57">
      <w:pPr>
        <w:spacing w:after="0"/>
      </w:pPr>
      <w:r>
        <w:separator/>
      </w:r>
    </w:p>
  </w:footnote>
  <w:footnote w:type="continuationSeparator" w:id="0">
    <w:p w:rsidR="00144183" w:rsidRDefault="00144183" w:rsidP="004A4E5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3FC"/>
    <w:rsid w:val="00144183"/>
    <w:rsid w:val="00254FEB"/>
    <w:rsid w:val="003733FC"/>
    <w:rsid w:val="003F3D96"/>
    <w:rsid w:val="004A4E57"/>
    <w:rsid w:val="005E4727"/>
    <w:rsid w:val="00814937"/>
    <w:rsid w:val="008B7F27"/>
    <w:rsid w:val="00AA3513"/>
    <w:rsid w:val="00B952DC"/>
    <w:rsid w:val="00EC3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AE9EC-59D3-41E5-B1EF-D0C9A58F4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33FC"/>
    <w:pPr>
      <w:spacing w:after="200" w:line="240" w:lineRule="auto"/>
      <w:jc w:val="both"/>
    </w:pPr>
    <w:rPr>
      <w:rFonts w:ascii="Calibri" w:eastAsia="Times New Roman" w:hAnsi="Calibri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B952DC"/>
    <w:pPr>
      <w:autoSpaceDE w:val="0"/>
      <w:autoSpaceDN w:val="0"/>
      <w:adjustRightInd w:val="0"/>
      <w:spacing w:after="200" w:line="240" w:lineRule="auto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A4E57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4E57"/>
    <w:rPr>
      <w:rFonts w:ascii="Calibri" w:eastAsia="Times New Roman" w:hAnsi="Calibri" w:cs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A4E57"/>
    <w:rPr>
      <w:vertAlign w:val="superscript"/>
    </w:rPr>
  </w:style>
  <w:style w:type="paragraph" w:styleId="Titulek">
    <w:name w:val="caption"/>
    <w:basedOn w:val="Normln"/>
    <w:next w:val="Normln"/>
    <w:unhideWhenUsed/>
    <w:qFormat/>
    <w:rsid w:val="005E4727"/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Katka\Disk%20Google\T&#253;nec\Grafy%20Bene&#353;ov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Katka\Disk%20Google\T&#253;nec\Grafy%20Bene&#353;ov.xlsx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Katka\Disk%20Google\T&#253;nec\Grafy%20Bene&#353;ov.xlsx" TargetMode="External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infekce!$A$110</c:f>
              <c:strCache>
                <c:ptCount val="1"/>
                <c:pt idx="0">
                  <c:v>ČR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infekce!$B$109:$M$109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infekce!$B$110:$M$110</c:f>
              <c:numCache>
                <c:formatCode>0.0</c:formatCode>
                <c:ptCount val="12"/>
                <c:pt idx="0">
                  <c:v>1.3</c:v>
                </c:pt>
                <c:pt idx="1">
                  <c:v>1.2</c:v>
                </c:pt>
                <c:pt idx="2">
                  <c:v>15.8</c:v>
                </c:pt>
                <c:pt idx="3">
                  <c:v>10.5</c:v>
                </c:pt>
                <c:pt idx="4">
                  <c:v>8.1999999999999993</c:v>
                </c:pt>
                <c:pt idx="5">
                  <c:v>2.5</c:v>
                </c:pt>
                <c:pt idx="6">
                  <c:v>2.7</c:v>
                </c:pt>
                <c:pt idx="7">
                  <c:v>3.3</c:v>
                </c:pt>
                <c:pt idx="8">
                  <c:v>6.4</c:v>
                </c:pt>
                <c:pt idx="9">
                  <c:v>6.9</c:v>
                </c:pt>
                <c:pt idx="10">
                  <c:v>8.8000000000000007</c:v>
                </c:pt>
                <c:pt idx="11">
                  <c:v>7.3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2B7F-4A5C-BBA0-5B44F60A8477}"/>
            </c:ext>
          </c:extLst>
        </c:ser>
        <c:ser>
          <c:idx val="1"/>
          <c:order val="1"/>
          <c:tx>
            <c:strRef>
              <c:f>infekce!$A$111</c:f>
              <c:strCache>
                <c:ptCount val="1"/>
                <c:pt idx="0">
                  <c:v>Středočeský kraj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infekce!$B$109:$M$109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infekce!$B$111:$M$111</c:f>
              <c:numCache>
                <c:formatCode>0.0</c:formatCode>
                <c:ptCount val="12"/>
                <c:pt idx="0">
                  <c:v>1.6</c:v>
                </c:pt>
                <c:pt idx="1">
                  <c:v>1</c:v>
                </c:pt>
                <c:pt idx="2">
                  <c:v>17.7</c:v>
                </c:pt>
                <c:pt idx="3">
                  <c:v>12</c:v>
                </c:pt>
                <c:pt idx="4">
                  <c:v>4.3</c:v>
                </c:pt>
                <c:pt idx="5">
                  <c:v>1.1000000000000001</c:v>
                </c:pt>
                <c:pt idx="6">
                  <c:v>2.6</c:v>
                </c:pt>
                <c:pt idx="7">
                  <c:v>2.7</c:v>
                </c:pt>
                <c:pt idx="8">
                  <c:v>5.9</c:v>
                </c:pt>
                <c:pt idx="9">
                  <c:v>4.4000000000000004</c:v>
                </c:pt>
                <c:pt idx="10">
                  <c:v>3.5</c:v>
                </c:pt>
                <c:pt idx="11">
                  <c:v>6.5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2B7F-4A5C-BBA0-5B44F60A8477}"/>
            </c:ext>
          </c:extLst>
        </c:ser>
        <c:ser>
          <c:idx val="2"/>
          <c:order val="2"/>
          <c:tx>
            <c:strRef>
              <c:f>infekce!$A$112</c:f>
              <c:strCache>
                <c:ptCount val="1"/>
                <c:pt idx="0">
                  <c:v>Benešov (SO ORP)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infekce!$B$109:$M$109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infekce!$B$112:$M$112</c:f>
              <c:numCache>
                <c:formatCode>0.0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14.5</c:v>
                </c:pt>
                <c:pt idx="3">
                  <c:v>3.6</c:v>
                </c:pt>
                <c:pt idx="4">
                  <c:v>1.8</c:v>
                </c:pt>
                <c:pt idx="5">
                  <c:v>0</c:v>
                </c:pt>
                <c:pt idx="6">
                  <c:v>0</c:v>
                </c:pt>
                <c:pt idx="7">
                  <c:v>1.7</c:v>
                </c:pt>
                <c:pt idx="8">
                  <c:v>8.6</c:v>
                </c:pt>
                <c:pt idx="9">
                  <c:v>1.7</c:v>
                </c:pt>
                <c:pt idx="10">
                  <c:v>0</c:v>
                </c:pt>
                <c:pt idx="11">
                  <c:v>1.7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2B7F-4A5C-BBA0-5B44F60A84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78384672"/>
        <c:axId val="678385456"/>
      </c:lineChart>
      <c:catAx>
        <c:axId val="6783846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78385456"/>
        <c:crosses val="autoZero"/>
        <c:auto val="1"/>
        <c:lblAlgn val="ctr"/>
        <c:lblOffset val="100"/>
        <c:noMultiLvlLbl val="0"/>
      </c:catAx>
      <c:valAx>
        <c:axId val="678385456"/>
        <c:scaling>
          <c:orientation val="minMax"/>
          <c:max val="20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78384672"/>
        <c:crosses val="autoZero"/>
        <c:crossBetween val="between"/>
        <c:majorUnit val="2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</c:dTable>
      <c:spPr>
        <a:solidFill>
          <a:schemeClr val="bg1"/>
        </a:solidFill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rgbClr val="FFF2CC"/>
    </a:solidFill>
    <a:ln w="9525" cap="flat" cmpd="sng" algn="ctr">
      <a:solidFill>
        <a:sysClr val="windowText" lastClr="000000"/>
      </a:solidFill>
      <a:round/>
    </a:ln>
    <a:effectLst/>
  </c:spPr>
  <c:txPr>
    <a:bodyPr/>
    <a:lstStyle/>
    <a:p>
      <a:pPr>
        <a:defRPr/>
      </a:pPr>
      <a:endParaRPr lang="cs-CZ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infekce!$A$131</c:f>
              <c:strCache>
                <c:ptCount val="1"/>
                <c:pt idx="0">
                  <c:v>ČR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infekce!$B$130:$M$130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infekce!$B$131:$M$131</c:f>
              <c:numCache>
                <c:formatCode>0.0</c:formatCode>
                <c:ptCount val="12"/>
                <c:pt idx="0">
                  <c:v>3</c:v>
                </c:pt>
                <c:pt idx="1">
                  <c:v>3</c:v>
                </c:pt>
                <c:pt idx="2">
                  <c:v>2.9</c:v>
                </c:pt>
                <c:pt idx="3">
                  <c:v>2.4</c:v>
                </c:pt>
                <c:pt idx="4">
                  <c:v>2.2999999999999998</c:v>
                </c:pt>
                <c:pt idx="5">
                  <c:v>1.8</c:v>
                </c:pt>
                <c:pt idx="6">
                  <c:v>1.5</c:v>
                </c:pt>
                <c:pt idx="7">
                  <c:v>1.3</c:v>
                </c:pt>
                <c:pt idx="8">
                  <c:v>1</c:v>
                </c:pt>
                <c:pt idx="9">
                  <c:v>0.8</c:v>
                </c:pt>
                <c:pt idx="10">
                  <c:v>0.7</c:v>
                </c:pt>
                <c:pt idx="11">
                  <c:v>0.8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EA52-491D-8A7B-1972809826D0}"/>
            </c:ext>
          </c:extLst>
        </c:ser>
        <c:ser>
          <c:idx val="1"/>
          <c:order val="1"/>
          <c:tx>
            <c:strRef>
              <c:f>infekce!$A$132</c:f>
              <c:strCache>
                <c:ptCount val="1"/>
                <c:pt idx="0">
                  <c:v>Středočeský kraj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infekce!$B$130:$M$130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infekce!$B$132:$M$132</c:f>
              <c:numCache>
                <c:formatCode>0.0</c:formatCode>
                <c:ptCount val="12"/>
                <c:pt idx="0">
                  <c:v>5.0999999999999996</c:v>
                </c:pt>
                <c:pt idx="1">
                  <c:v>5.0999999999999996</c:v>
                </c:pt>
                <c:pt idx="2">
                  <c:v>4.3</c:v>
                </c:pt>
                <c:pt idx="3">
                  <c:v>3.9</c:v>
                </c:pt>
                <c:pt idx="4">
                  <c:v>4.0999999999999996</c:v>
                </c:pt>
                <c:pt idx="5">
                  <c:v>2.2999999999999998</c:v>
                </c:pt>
                <c:pt idx="6">
                  <c:v>2.4</c:v>
                </c:pt>
                <c:pt idx="7">
                  <c:v>1.8</c:v>
                </c:pt>
                <c:pt idx="8">
                  <c:v>1</c:v>
                </c:pt>
                <c:pt idx="9">
                  <c:v>1.1000000000000001</c:v>
                </c:pt>
                <c:pt idx="10">
                  <c:v>0.8</c:v>
                </c:pt>
                <c:pt idx="11">
                  <c:v>1.2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EA52-491D-8A7B-1972809826D0}"/>
            </c:ext>
          </c:extLst>
        </c:ser>
        <c:ser>
          <c:idx val="2"/>
          <c:order val="2"/>
          <c:tx>
            <c:strRef>
              <c:f>infekce!$A$133</c:f>
              <c:strCache>
                <c:ptCount val="1"/>
                <c:pt idx="0">
                  <c:v>Benešov (SO ORP)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infekce!$B$130:$M$130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infekce!$B$133:$M$133</c:f>
              <c:numCache>
                <c:formatCode>0.0</c:formatCode>
                <c:ptCount val="12"/>
                <c:pt idx="0">
                  <c:v>3.7</c:v>
                </c:pt>
                <c:pt idx="1">
                  <c:v>0</c:v>
                </c:pt>
                <c:pt idx="2">
                  <c:v>0</c:v>
                </c:pt>
                <c:pt idx="3">
                  <c:v>1.8</c:v>
                </c:pt>
                <c:pt idx="4">
                  <c:v>1.8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EA52-491D-8A7B-1972809826D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30903384"/>
        <c:axId val="730904560"/>
      </c:lineChart>
      <c:catAx>
        <c:axId val="730903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730904560"/>
        <c:crosses val="autoZero"/>
        <c:auto val="1"/>
        <c:lblAlgn val="ctr"/>
        <c:lblOffset val="100"/>
        <c:noMultiLvlLbl val="0"/>
      </c:catAx>
      <c:valAx>
        <c:axId val="730904560"/>
        <c:scaling>
          <c:orientation val="minMax"/>
          <c:max val="7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730903384"/>
        <c:crosses val="autoZero"/>
        <c:crossBetween val="between"/>
        <c:majorUnit val="1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</c:dTable>
      <c:spPr>
        <a:solidFill>
          <a:schemeClr val="bg1"/>
        </a:solidFill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rgbClr val="FFF2CC"/>
    </a:solidFill>
    <a:ln w="9525" cap="flat" cmpd="sng" algn="ctr">
      <a:solidFill>
        <a:sysClr val="windowText" lastClr="000000"/>
      </a:solidFill>
      <a:round/>
    </a:ln>
    <a:effectLst/>
  </c:spPr>
  <c:txPr>
    <a:bodyPr/>
    <a:lstStyle/>
    <a:p>
      <a:pPr>
        <a:defRPr/>
      </a:pPr>
      <a:endParaRPr lang="cs-CZ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infekce!$A$152</c:f>
              <c:strCache>
                <c:ptCount val="1"/>
                <c:pt idx="0">
                  <c:v>ČR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infekce!$B$151:$M$151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infekce!$B$152:$M$152</c:f>
              <c:numCache>
                <c:formatCode>0.0</c:formatCode>
                <c:ptCount val="12"/>
                <c:pt idx="0">
                  <c:v>10</c:v>
                </c:pt>
                <c:pt idx="1">
                  <c:v>9.5</c:v>
                </c:pt>
                <c:pt idx="2">
                  <c:v>9.3000000000000007</c:v>
                </c:pt>
                <c:pt idx="3">
                  <c:v>8</c:v>
                </c:pt>
                <c:pt idx="4">
                  <c:v>6.7</c:v>
                </c:pt>
                <c:pt idx="5">
                  <c:v>7.7</c:v>
                </c:pt>
                <c:pt idx="6">
                  <c:v>7.6</c:v>
                </c:pt>
                <c:pt idx="7">
                  <c:v>8.3000000000000007</c:v>
                </c:pt>
                <c:pt idx="8">
                  <c:v>8.1999999999999993</c:v>
                </c:pt>
                <c:pt idx="9">
                  <c:v>9.1</c:v>
                </c:pt>
                <c:pt idx="10">
                  <c:v>10.4</c:v>
                </c:pt>
                <c:pt idx="11">
                  <c:v>9.4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4341-40CD-96AA-C6743560FA37}"/>
            </c:ext>
          </c:extLst>
        </c:ser>
        <c:ser>
          <c:idx val="1"/>
          <c:order val="1"/>
          <c:tx>
            <c:strRef>
              <c:f>infekce!$A$153</c:f>
              <c:strCache>
                <c:ptCount val="1"/>
                <c:pt idx="0">
                  <c:v>Středočeský kraj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infekce!$B$151:$M$151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infekce!$B$153:$M$153</c:f>
              <c:numCache>
                <c:formatCode>0.0</c:formatCode>
                <c:ptCount val="12"/>
                <c:pt idx="0">
                  <c:v>6</c:v>
                </c:pt>
                <c:pt idx="1">
                  <c:v>5.9</c:v>
                </c:pt>
                <c:pt idx="2">
                  <c:v>8.1999999999999993</c:v>
                </c:pt>
                <c:pt idx="3">
                  <c:v>6</c:v>
                </c:pt>
                <c:pt idx="4">
                  <c:v>6.4</c:v>
                </c:pt>
                <c:pt idx="5">
                  <c:v>8.4</c:v>
                </c:pt>
                <c:pt idx="6">
                  <c:v>6.7</c:v>
                </c:pt>
                <c:pt idx="7">
                  <c:v>5.9</c:v>
                </c:pt>
                <c:pt idx="8">
                  <c:v>5.4</c:v>
                </c:pt>
                <c:pt idx="9">
                  <c:v>7.3</c:v>
                </c:pt>
                <c:pt idx="10">
                  <c:v>10.4</c:v>
                </c:pt>
                <c:pt idx="11">
                  <c:v>8.8000000000000007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4341-40CD-96AA-C6743560FA37}"/>
            </c:ext>
          </c:extLst>
        </c:ser>
        <c:ser>
          <c:idx val="2"/>
          <c:order val="2"/>
          <c:tx>
            <c:strRef>
              <c:f>infekce!$A$154</c:f>
              <c:strCache>
                <c:ptCount val="1"/>
                <c:pt idx="0">
                  <c:v>Benešov (SO ORP)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infekce!$B$151:$M$151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infekce!$B$154:$M$154</c:f>
              <c:numCache>
                <c:formatCode>0.0</c:formatCode>
                <c:ptCount val="12"/>
                <c:pt idx="0">
                  <c:v>0</c:v>
                </c:pt>
                <c:pt idx="1">
                  <c:v>0</c:v>
                </c:pt>
                <c:pt idx="2">
                  <c:v>3.6</c:v>
                </c:pt>
                <c:pt idx="3">
                  <c:v>7.2</c:v>
                </c:pt>
                <c:pt idx="4">
                  <c:v>3.5</c:v>
                </c:pt>
                <c:pt idx="5">
                  <c:v>3.5</c:v>
                </c:pt>
                <c:pt idx="6">
                  <c:v>5.2</c:v>
                </c:pt>
                <c:pt idx="7">
                  <c:v>1.7</c:v>
                </c:pt>
                <c:pt idx="8">
                  <c:v>3.4</c:v>
                </c:pt>
                <c:pt idx="9">
                  <c:v>6.8</c:v>
                </c:pt>
                <c:pt idx="10">
                  <c:v>20.3</c:v>
                </c:pt>
                <c:pt idx="11">
                  <c:v>1.7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4341-40CD-96AA-C6743560FA3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30910048"/>
        <c:axId val="730905344"/>
      </c:lineChart>
      <c:catAx>
        <c:axId val="7309100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730905344"/>
        <c:crosses val="autoZero"/>
        <c:auto val="1"/>
        <c:lblAlgn val="ctr"/>
        <c:lblOffset val="100"/>
        <c:noMultiLvlLbl val="0"/>
      </c:catAx>
      <c:valAx>
        <c:axId val="730905344"/>
        <c:scaling>
          <c:orientation val="minMax"/>
          <c:max val="25"/>
          <c:min val="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730910048"/>
        <c:crosses val="autoZero"/>
        <c:crossBetween val="between"/>
        <c:majorUnit val="5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</c:dTable>
      <c:spPr>
        <a:solidFill>
          <a:schemeClr val="bg1"/>
        </a:solidFill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rgbClr val="FFF2CC"/>
    </a:solidFill>
    <a:ln w="9525" cap="flat" cmpd="sng" algn="ctr">
      <a:solidFill>
        <a:sysClr val="windowText" lastClr="000000"/>
      </a:solidFill>
      <a:round/>
    </a:ln>
    <a:effectLst/>
  </c:spPr>
  <c:txPr>
    <a:bodyPr/>
    <a:lstStyle/>
    <a:p>
      <a:pPr>
        <a:defRPr/>
      </a:pPr>
      <a:endParaRPr lang="cs-CZ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Vrbická Denisa</dc:creator>
  <cp:keywords/>
  <dc:description/>
  <cp:lastModifiedBy>Vrbická Denisa</cp:lastModifiedBy>
  <cp:revision>2</cp:revision>
  <dcterms:created xsi:type="dcterms:W3CDTF">2019-10-10T10:34:00Z</dcterms:created>
  <dcterms:modified xsi:type="dcterms:W3CDTF">2019-10-10T10:34:00Z</dcterms:modified>
</cp:coreProperties>
</file>