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339E" w:rsidRDefault="00E0442F" w:rsidP="00D51D30">
      <w:pPr>
        <w:pStyle w:val="Nadpis1"/>
        <w:numPr>
          <w:ilvl w:val="0"/>
          <w:numId w:val="0"/>
        </w:numPr>
      </w:pPr>
      <w:bookmarkStart w:id="0" w:name="_Toc440524984"/>
      <w:r>
        <w:t>HO</w:t>
      </w:r>
      <w:r w:rsidR="00264153">
        <w:t xml:space="preserve">dnocení udržitelného rozvoje </w:t>
      </w:r>
      <w:r w:rsidR="00DC5BBB">
        <w:t>ve</w:t>
      </w:r>
      <w:r w:rsidR="00264153">
        <w:t xml:space="preserve"> školách</w:t>
      </w:r>
      <w:r w:rsidR="00AC1EC1">
        <w:t xml:space="preserve"> </w:t>
      </w:r>
      <w:bookmarkEnd w:id="0"/>
      <w:r>
        <w:t>– návrh k </w:t>
      </w:r>
      <w:proofErr w:type="gramStart"/>
      <w:r>
        <w:t>23.1.2020</w:t>
      </w:r>
      <w:proofErr w:type="gramEnd"/>
    </w:p>
    <w:p w:rsidR="007B1D92" w:rsidRDefault="001F2212" w:rsidP="001E4B32">
      <w:r>
        <w:t xml:space="preserve">Dotazník a jeho konečné hodnocení </w:t>
      </w:r>
      <w:r w:rsidR="005B5E8E">
        <w:t xml:space="preserve">jsou </w:t>
      </w:r>
      <w:r>
        <w:t>rozděl</w:t>
      </w:r>
      <w:r w:rsidR="00AC59DD">
        <w:t>en</w:t>
      </w:r>
      <w:r w:rsidR="005B5E8E">
        <w:t>y</w:t>
      </w:r>
      <w:r>
        <w:t xml:space="preserve"> </w:t>
      </w:r>
      <w:r w:rsidR="00131F25">
        <w:t>do</w:t>
      </w:r>
      <w:r>
        <w:t xml:space="preserve"> čtyř oblast</w:t>
      </w:r>
      <w:r w:rsidR="00131F25">
        <w:t>í</w:t>
      </w:r>
      <w:r w:rsidR="00985E39">
        <w:t>:</w:t>
      </w:r>
    </w:p>
    <w:p w:rsidR="007D26B4" w:rsidRPr="007D26B4" w:rsidRDefault="007D26B4" w:rsidP="007D26B4">
      <w:r w:rsidRPr="007D26B4">
        <w:t>I.</w:t>
      </w:r>
      <w:r w:rsidRPr="007D26B4">
        <w:tab/>
        <w:t>Indikátory managementu,</w:t>
      </w:r>
    </w:p>
    <w:p w:rsidR="007D26B4" w:rsidRPr="007D26B4" w:rsidRDefault="007D26B4" w:rsidP="007D26B4">
      <w:r w:rsidRPr="007D26B4">
        <w:t>II.</w:t>
      </w:r>
      <w:r w:rsidRPr="007D26B4">
        <w:tab/>
        <w:t>Indikátory výchovy a vzdělání,</w:t>
      </w:r>
    </w:p>
    <w:p w:rsidR="007D26B4" w:rsidRPr="007D26B4" w:rsidRDefault="007D26B4" w:rsidP="007D26B4">
      <w:r w:rsidRPr="007D26B4">
        <w:t>III.</w:t>
      </w:r>
      <w:r w:rsidRPr="007D26B4">
        <w:tab/>
        <w:t>Indikátory zdraví a sociálního prostředí,</w:t>
      </w:r>
    </w:p>
    <w:p w:rsidR="007D26B4" w:rsidRDefault="007D26B4" w:rsidP="007D26B4">
      <w:r w:rsidRPr="007D26B4">
        <w:t>IV.</w:t>
      </w:r>
      <w:r w:rsidRPr="007D26B4">
        <w:tab/>
      </w:r>
      <w:r w:rsidR="00141B21" w:rsidRPr="003940F5">
        <w:t>Indikátory provozní</w:t>
      </w:r>
      <w:r w:rsidR="00E0442F">
        <w:t>,</w:t>
      </w:r>
    </w:p>
    <w:p w:rsidR="00141B21" w:rsidRDefault="00141B21" w:rsidP="007D26B4">
      <w:r>
        <w:t xml:space="preserve">V. </w:t>
      </w:r>
      <w:r w:rsidR="00E0442F">
        <w:tab/>
      </w:r>
      <w:r>
        <w:t>Indikátory provozní – zřizovatel.</w:t>
      </w:r>
    </w:p>
    <w:p w:rsidR="00113171" w:rsidRDefault="00113171" w:rsidP="007D26B4"/>
    <w:p w:rsidR="00D432F8" w:rsidRDefault="00D432F8" w:rsidP="00D432F8"/>
    <w:p w:rsidR="00D432F8" w:rsidRDefault="00D432F8" w:rsidP="00D432F8">
      <w:pPr>
        <w:tabs>
          <w:tab w:val="left" w:pos="7920"/>
        </w:tabs>
      </w:pPr>
      <w:r>
        <w:tab/>
      </w:r>
    </w:p>
    <w:p w:rsidR="00D432F8" w:rsidRDefault="00D432F8" w:rsidP="00D432F8">
      <w:pPr>
        <w:ind w:firstLine="0"/>
      </w:pPr>
    </w:p>
    <w:p w:rsidR="00870D18" w:rsidRDefault="00870D18" w:rsidP="00D432F8"/>
    <w:p w:rsidR="00D432F8" w:rsidRDefault="00D432F8" w:rsidP="00D432F8"/>
    <w:p w:rsidR="00D432F8" w:rsidRDefault="00D432F8" w:rsidP="00D432F8"/>
    <w:p w:rsidR="00D432F8" w:rsidRDefault="00D432F8" w:rsidP="00D432F8"/>
    <w:p w:rsidR="00D432F8" w:rsidRPr="00D432F8" w:rsidRDefault="00D432F8" w:rsidP="00D432F8">
      <w:pPr>
        <w:ind w:firstLine="0"/>
        <w:sectPr w:rsidR="00D432F8" w:rsidRPr="00D432F8" w:rsidSect="000B5D1D">
          <w:footerReference w:type="default" r:id="rId8"/>
          <w:pgSz w:w="11906" w:h="16838"/>
          <w:pgMar w:top="1417" w:right="1417" w:bottom="1417" w:left="1417" w:header="708" w:footer="708" w:gutter="0"/>
          <w:pgNumType w:start="4"/>
          <w:cols w:space="708"/>
          <w:docGrid w:linePitch="360"/>
        </w:sectPr>
      </w:pPr>
    </w:p>
    <w:p w:rsidR="00D51D30" w:rsidRPr="00D51D30" w:rsidRDefault="00D51D30" w:rsidP="00D16CB1">
      <w:pPr>
        <w:ind w:firstLine="0"/>
        <w:jc w:val="left"/>
        <w:rPr>
          <w:rFonts w:ascii="Calibri" w:eastAsia="Calibri" w:hAnsi="Calibri" w:cs="Times New Roman"/>
          <w:b/>
          <w:color w:val="4F81BD" w:themeColor="accent1"/>
          <w:sz w:val="28"/>
          <w:szCs w:val="28"/>
        </w:rPr>
      </w:pPr>
      <w:r w:rsidRPr="00D51D30">
        <w:rPr>
          <w:rFonts w:ascii="Calibri" w:eastAsia="Calibri" w:hAnsi="Calibri" w:cs="Times New Roman"/>
          <w:b/>
          <w:color w:val="4F81BD" w:themeColor="accent1"/>
          <w:sz w:val="28"/>
          <w:szCs w:val="28"/>
        </w:rPr>
        <w:lastRenderedPageBreak/>
        <w:t xml:space="preserve">HODNOCENÍ UDRŽITELNÉHO ROZVOJE MATEŘSKÝCH ŠKOL </w:t>
      </w:r>
    </w:p>
    <w:p w:rsidR="00D16CB1" w:rsidRDefault="00D16CB1" w:rsidP="00D16CB1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D16CB1">
        <w:rPr>
          <w:rFonts w:ascii="Calibri" w:eastAsia="Calibri" w:hAnsi="Calibri" w:cs="Times New Roman"/>
          <w:sz w:val="22"/>
        </w:rPr>
        <w:t>I. Indikátory managementu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D16CB1" w:rsidRPr="00D16CB1" w:rsidTr="00423CFE">
        <w:tc>
          <w:tcPr>
            <w:tcW w:w="1526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423CFE" w:rsidRPr="00D16CB1" w:rsidTr="00423CFE">
        <w:trPr>
          <w:trHeight w:val="375"/>
        </w:trPr>
        <w:tc>
          <w:tcPr>
            <w:tcW w:w="1526" w:type="dxa"/>
            <w:vMerge w:val="restart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Modely řízení školy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a projekty</w:t>
            </w:r>
          </w:p>
        </w:tc>
        <w:tc>
          <w:tcPr>
            <w:tcW w:w="4678" w:type="dxa"/>
            <w:vMerge w:val="restart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Certifikované modely a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projekty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školy v oblasti řízení podporují UR.</w:t>
            </w:r>
          </w:p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(např. EMS, Zdravá škola, </w:t>
            </w:r>
            <w:r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Světová škola, Etická škola, </w:t>
            </w:r>
            <w:proofErr w:type="spellStart"/>
            <w:r>
              <w:rPr>
                <w:rFonts w:ascii="Calibri" w:eastAsia="Calibri" w:hAnsi="Calibri" w:cs="Times New Roman"/>
                <w:i/>
                <w:sz w:val="21"/>
                <w:szCs w:val="21"/>
              </w:rPr>
              <w:t>Ekoškola</w:t>
            </w:r>
            <w:proofErr w:type="spellEnd"/>
            <w:r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, </w:t>
            </w: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Bezpečná škola …)</w:t>
            </w:r>
          </w:p>
        </w:tc>
        <w:tc>
          <w:tcPr>
            <w:tcW w:w="3260" w:type="dxa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žádné nepodporují UR</w:t>
            </w:r>
          </w:p>
        </w:tc>
        <w:tc>
          <w:tcPr>
            <w:tcW w:w="880" w:type="dxa"/>
            <w:vAlign w:val="center"/>
          </w:tcPr>
          <w:p w:rsidR="00423CFE" w:rsidRPr="00D16CB1" w:rsidRDefault="00423CFE" w:rsidP="00423CFE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423CFE" w:rsidRPr="00D16CB1" w:rsidTr="00E9241F">
        <w:trPr>
          <w:trHeight w:val="375"/>
        </w:trPr>
        <w:tc>
          <w:tcPr>
            <w:tcW w:w="1526" w:type="dxa"/>
            <w:vMerge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Necertifikované projekty</w:t>
            </w:r>
          </w:p>
        </w:tc>
        <w:tc>
          <w:tcPr>
            <w:tcW w:w="880" w:type="dxa"/>
            <w:vAlign w:val="center"/>
          </w:tcPr>
          <w:p w:rsidR="00423CFE" w:rsidRPr="00D16CB1" w:rsidRDefault="00423CFE" w:rsidP="00423CFE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423CFE" w:rsidRPr="00D16CB1" w:rsidTr="00E9241F">
        <w:trPr>
          <w:trHeight w:val="375"/>
        </w:trPr>
        <w:tc>
          <w:tcPr>
            <w:tcW w:w="1526" w:type="dxa"/>
            <w:vMerge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Certifikované projekty</w:t>
            </w:r>
          </w:p>
        </w:tc>
        <w:tc>
          <w:tcPr>
            <w:tcW w:w="880" w:type="dxa"/>
            <w:vAlign w:val="center"/>
          </w:tcPr>
          <w:p w:rsidR="00423CFE" w:rsidRPr="00D16CB1" w:rsidRDefault="00423CFE" w:rsidP="00423CFE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423CFE" w:rsidRPr="00D16CB1" w:rsidTr="00423CFE">
        <w:trPr>
          <w:trHeight w:val="415"/>
        </w:trPr>
        <w:tc>
          <w:tcPr>
            <w:tcW w:w="1526" w:type="dxa"/>
            <w:vMerge w:val="restart"/>
            <w:vAlign w:val="center"/>
          </w:tcPr>
          <w:p w:rsidR="00423CFE" w:rsidRPr="00D16CB1" w:rsidRDefault="00423CFE" w:rsidP="00E9241F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Spolupráce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</w:t>
            </w:r>
            <w:r w:rsidR="00E9241F">
              <w:rPr>
                <w:rFonts w:ascii="Calibri" w:eastAsia="Calibri" w:hAnsi="Calibri" w:cs="Times New Roman"/>
                <w:sz w:val="21"/>
                <w:szCs w:val="21"/>
              </w:rPr>
              <w:t xml:space="preserve">s veřejností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a prezentace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školy </w:t>
            </w:r>
          </w:p>
        </w:tc>
        <w:tc>
          <w:tcPr>
            <w:tcW w:w="4678" w:type="dxa"/>
            <w:vMerge w:val="restart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color w:val="FF0000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spolupracuje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a propaguje vůči široké veřejnosti problematiku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UR. Posuzováno ve všech oblastech školy (management, výchova a vzdělání, zdraví a sociální prostředí, provoz). Podmínky podpory zdraví v MŠ (Kurikulum podpory zdraví).</w:t>
            </w:r>
          </w:p>
        </w:tc>
        <w:tc>
          <w:tcPr>
            <w:tcW w:w="3260" w:type="dxa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žádná spolupráce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ani propagace</w:t>
            </w:r>
          </w:p>
        </w:tc>
        <w:tc>
          <w:tcPr>
            <w:tcW w:w="880" w:type="dxa"/>
            <w:vAlign w:val="center"/>
          </w:tcPr>
          <w:p w:rsidR="00423CFE" w:rsidRPr="00D16CB1" w:rsidRDefault="00423CFE" w:rsidP="00423CFE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423CFE" w:rsidRPr="00D16CB1" w:rsidTr="00423CFE">
        <w:trPr>
          <w:trHeight w:val="415"/>
        </w:trPr>
        <w:tc>
          <w:tcPr>
            <w:tcW w:w="1526" w:type="dxa"/>
            <w:vMerge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Spolupráce v některých oblastech</w:t>
            </w:r>
          </w:p>
        </w:tc>
        <w:tc>
          <w:tcPr>
            <w:tcW w:w="880" w:type="dxa"/>
            <w:vAlign w:val="center"/>
          </w:tcPr>
          <w:p w:rsidR="00423CFE" w:rsidRPr="00D16CB1" w:rsidRDefault="00423CFE" w:rsidP="00423CFE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423CFE" w:rsidRPr="00D16CB1" w:rsidTr="00423CFE">
        <w:trPr>
          <w:trHeight w:val="415"/>
        </w:trPr>
        <w:tc>
          <w:tcPr>
            <w:tcW w:w="1526" w:type="dxa"/>
            <w:vMerge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423CFE" w:rsidRPr="00D16CB1" w:rsidRDefault="00423CFE" w:rsidP="00423CFE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Spolupráce ve všech oblastech</w:t>
            </w:r>
          </w:p>
        </w:tc>
        <w:tc>
          <w:tcPr>
            <w:tcW w:w="880" w:type="dxa"/>
            <w:vAlign w:val="center"/>
          </w:tcPr>
          <w:p w:rsidR="00423CFE" w:rsidRPr="00D16CB1" w:rsidRDefault="00423CFE" w:rsidP="00423CFE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D16CB1" w:rsidRDefault="00D16CB1" w:rsidP="00D16CB1">
      <w:pPr>
        <w:ind w:firstLine="0"/>
        <w:jc w:val="left"/>
        <w:rPr>
          <w:rFonts w:ascii="Calibri" w:eastAsia="Calibri" w:hAnsi="Calibri" w:cs="Times New Roman"/>
          <w:sz w:val="22"/>
        </w:rPr>
      </w:pPr>
    </w:p>
    <w:p w:rsidR="00D16CB1" w:rsidRPr="00D16CB1" w:rsidRDefault="00D16CB1" w:rsidP="00D16CB1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3B031D">
        <w:rPr>
          <w:rFonts w:ascii="Calibri" w:eastAsia="Calibri" w:hAnsi="Calibri" w:cs="Times New Roman"/>
          <w:sz w:val="22"/>
        </w:rPr>
        <w:t>II. Indikátory výchovy a vzdělání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D16CB1" w:rsidRPr="00D16CB1" w:rsidTr="00CB04A0">
        <w:tc>
          <w:tcPr>
            <w:tcW w:w="1526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D16CB1" w:rsidRPr="00D16CB1" w:rsidTr="00CB04A0">
        <w:trPr>
          <w:trHeight w:val="500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Zařazení tematických částí s problematikou UR do činností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Ve vzdělávacím programu školy jsou obsaženy tematické části, témata, dílčí cíle a ukazatele vzdělání, zaměřené svým obsahem na problematiku UR.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environmentální výchova, ekologie, ochrana přírody a krajiny…)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žádné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B04A0">
        <w:trPr>
          <w:trHeight w:val="501"/>
        </w:trPr>
        <w:tc>
          <w:tcPr>
            <w:tcW w:w="1526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Jedna aktivita či projekt zaměřený na UR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B04A0">
        <w:trPr>
          <w:trHeight w:val="501"/>
        </w:trPr>
        <w:tc>
          <w:tcPr>
            <w:tcW w:w="1526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Více aktivit a projektů zaměřených na UR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CB04A0">
        <w:trPr>
          <w:trHeight w:val="32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Děti podílející se na aktivitách vztahující se k tématu UR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E9241F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Zapojení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dětí, které se věnují v rámci vzdělávacích aktivit problematice UR k celkovému počtu.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color w:val="FF0000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prostřednictvím soutěží, přednášek, třídění hliníku, Ukliďme svět …)</w:t>
            </w:r>
          </w:p>
        </w:tc>
        <w:tc>
          <w:tcPr>
            <w:tcW w:w="3260" w:type="dxa"/>
            <w:vAlign w:val="center"/>
          </w:tcPr>
          <w:p w:rsidR="00D16CB1" w:rsidRPr="00D16CB1" w:rsidRDefault="00E9241F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 – nezapojily se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B04A0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E9241F" w:rsidP="00E9241F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Zapojení do dílčích aktivit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B04A0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E9241F" w:rsidP="00E9241F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Zapojení do celoškolních projektů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CB04A0">
        <w:trPr>
          <w:trHeight w:val="28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Úroveň realizovaných aktivit školy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Aktivity, jež škola realizuje v rámci problematiky UR, jsou organizovány na školské, regionální, národní či mezinárodní úrovni.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Školské </w:t>
            </w:r>
            <w:r w:rsidR="00E9241F">
              <w:rPr>
                <w:rFonts w:ascii="Calibri" w:eastAsia="Calibri" w:hAnsi="Calibri" w:cs="Times New Roman"/>
                <w:sz w:val="21"/>
                <w:szCs w:val="21"/>
              </w:rPr>
              <w:t>(v rámci jedné školy)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B04A0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BB3806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Regionální 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B04A0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E9241F" w:rsidP="00E9241F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Národní a m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>ezinárodní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CB04A0">
        <w:trPr>
          <w:trHeight w:val="32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Realizace aktivit školy k tématu UR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Počet aktivit školy zaměřených na problematiku UR realizovaných pouze na školské úrovni. 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soutěže, výstavy, akce ke Dni Země, Dnům zdraví…)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BB3806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1 - </w:t>
            </w:r>
            <w:r w:rsidR="00BB3806">
              <w:rPr>
                <w:rFonts w:ascii="Calibri" w:eastAsia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B04A0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BB3806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5 - 9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B04A0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BB3806" w:rsidP="00BB3806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10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 více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CB04A0">
        <w:trPr>
          <w:trHeight w:val="415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Technické zabezpečení pro výchovu a vzdělání k UR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Škola </w:t>
            </w:r>
            <w:r w:rsidR="002B7EBC">
              <w:rPr>
                <w:rFonts w:ascii="Calibri" w:eastAsia="Calibri" w:hAnsi="Calibri" w:cs="Times New Roman"/>
                <w:sz w:val="21"/>
                <w:szCs w:val="21"/>
              </w:rPr>
              <w:t>využívá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kvalitní technické pomůcky používané pro výchovu a vzdělání k UR.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odborné učebny, ekoplochy, naučné chodníky, audiovizuální zdroje …)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žádné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B04A0">
        <w:trPr>
          <w:trHeight w:val="415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2B7EBC" w:rsidP="002B7EBC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Pouze pro občasné aktivity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B04A0">
        <w:trPr>
          <w:trHeight w:val="415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2B7EBC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Časté využití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CB04A0">
        <w:trPr>
          <w:trHeight w:val="500"/>
        </w:trPr>
        <w:tc>
          <w:tcPr>
            <w:tcW w:w="1526" w:type="dxa"/>
            <w:vMerge w:val="restart"/>
            <w:vAlign w:val="center"/>
          </w:tcPr>
          <w:p w:rsidR="00D16CB1" w:rsidRPr="00D16CB1" w:rsidRDefault="004369B8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Vzdělávání pedagogů v oblasti UR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4369B8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Pedagogové se účastní vzdělávacích akcí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v oblasti UR.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žádné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B04A0">
        <w:trPr>
          <w:trHeight w:val="501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4369B8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Menší část pedagogického sboru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B04A0">
        <w:trPr>
          <w:trHeight w:val="501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4369B8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Většina pedagogického sboru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130F0" w:rsidRPr="00D16CB1" w:rsidTr="00CB04A0">
        <w:trPr>
          <w:trHeight w:val="340"/>
        </w:trPr>
        <w:tc>
          <w:tcPr>
            <w:tcW w:w="1526" w:type="dxa"/>
            <w:vMerge w:val="restart"/>
            <w:vAlign w:val="center"/>
          </w:tcPr>
          <w:p w:rsidR="001130F0" w:rsidRPr="00D16CB1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Implementace nových vyučovacích metod</w:t>
            </w:r>
          </w:p>
        </w:tc>
        <w:tc>
          <w:tcPr>
            <w:tcW w:w="4678" w:type="dxa"/>
            <w:vMerge w:val="restart"/>
            <w:vAlign w:val="center"/>
          </w:tcPr>
          <w:p w:rsidR="001130F0" w:rsidRPr="00D16CB1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Pedagogové rozšiřují tradiční výchovu a vzdělání o nové metody a formy výuky (např. projektové dny, diskusní kruh, hry, modelové příběhy, experimenty, prožitkové učení, exkurze, pobyty v přírodě)</w:t>
            </w:r>
          </w:p>
        </w:tc>
        <w:tc>
          <w:tcPr>
            <w:tcW w:w="3260" w:type="dxa"/>
            <w:vAlign w:val="center"/>
          </w:tcPr>
          <w:p w:rsidR="001130F0" w:rsidRPr="00D16CB1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žádné</w:t>
            </w:r>
          </w:p>
        </w:tc>
        <w:tc>
          <w:tcPr>
            <w:tcW w:w="880" w:type="dxa"/>
            <w:vAlign w:val="center"/>
          </w:tcPr>
          <w:p w:rsidR="001130F0" w:rsidRPr="00D16CB1" w:rsidRDefault="001130F0" w:rsidP="001130F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130F0" w:rsidRPr="00D16CB1" w:rsidTr="00CB04A0">
        <w:trPr>
          <w:trHeight w:val="340"/>
        </w:trPr>
        <w:tc>
          <w:tcPr>
            <w:tcW w:w="1526" w:type="dxa"/>
            <w:vMerge/>
            <w:vAlign w:val="center"/>
          </w:tcPr>
          <w:p w:rsidR="001130F0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130F0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130F0" w:rsidRPr="00D16CB1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Menší část pedagogického sboru</w:t>
            </w:r>
          </w:p>
        </w:tc>
        <w:tc>
          <w:tcPr>
            <w:tcW w:w="880" w:type="dxa"/>
            <w:vAlign w:val="center"/>
          </w:tcPr>
          <w:p w:rsidR="001130F0" w:rsidRPr="00D16CB1" w:rsidRDefault="001130F0" w:rsidP="001130F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130F0" w:rsidRPr="00D16CB1" w:rsidTr="00CB04A0">
        <w:trPr>
          <w:trHeight w:val="340"/>
        </w:trPr>
        <w:tc>
          <w:tcPr>
            <w:tcW w:w="1526" w:type="dxa"/>
            <w:vMerge/>
            <w:vAlign w:val="center"/>
          </w:tcPr>
          <w:p w:rsidR="001130F0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130F0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130F0" w:rsidRPr="00D16CB1" w:rsidRDefault="001130F0" w:rsidP="001130F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Většina pedagogického sboru</w:t>
            </w:r>
          </w:p>
        </w:tc>
        <w:tc>
          <w:tcPr>
            <w:tcW w:w="880" w:type="dxa"/>
            <w:vAlign w:val="center"/>
          </w:tcPr>
          <w:p w:rsidR="001130F0" w:rsidRPr="00D16CB1" w:rsidRDefault="001130F0" w:rsidP="001130F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CB04A0" w:rsidRPr="00D16CB1" w:rsidTr="00CB04A0">
        <w:trPr>
          <w:trHeight w:val="340"/>
        </w:trPr>
        <w:tc>
          <w:tcPr>
            <w:tcW w:w="1526" w:type="dxa"/>
            <w:vMerge w:val="restart"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lastRenderedPageBreak/>
              <w:t>Účast na tvorbě globálního prostředí</w:t>
            </w:r>
          </w:p>
        </w:tc>
        <w:tc>
          <w:tcPr>
            <w:tcW w:w="4678" w:type="dxa"/>
            <w:vMerge w:val="restart"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se aktivně podílí na tvorbě globálního prostředí.</w:t>
            </w:r>
          </w:p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prostřednictvím kampaní, adopce na dálku, Den Země, ETM a EDBA …)</w:t>
            </w:r>
          </w:p>
        </w:tc>
        <w:tc>
          <w:tcPr>
            <w:tcW w:w="3260" w:type="dxa"/>
            <w:vAlign w:val="center"/>
          </w:tcPr>
          <w:p w:rsidR="00CB04A0" w:rsidRPr="00D16CB1" w:rsidRDefault="00792AB9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0 - </w:t>
            </w:r>
            <w:r w:rsidR="00CB04A0" w:rsidRPr="00D16CB1">
              <w:rPr>
                <w:rFonts w:ascii="Calibri" w:eastAsia="Calibri" w:hAnsi="Calibri" w:cs="Times New Roman"/>
                <w:sz w:val="21"/>
                <w:szCs w:val="21"/>
              </w:rPr>
              <w:t>1 aktivita</w:t>
            </w:r>
          </w:p>
        </w:tc>
        <w:tc>
          <w:tcPr>
            <w:tcW w:w="880" w:type="dxa"/>
            <w:vAlign w:val="center"/>
          </w:tcPr>
          <w:p w:rsidR="00CB04A0" w:rsidRPr="00D16CB1" w:rsidRDefault="00CB04A0" w:rsidP="00CB04A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CB04A0" w:rsidRPr="00D16CB1" w:rsidTr="00CB04A0">
        <w:trPr>
          <w:trHeight w:val="415"/>
        </w:trPr>
        <w:tc>
          <w:tcPr>
            <w:tcW w:w="1526" w:type="dxa"/>
            <w:vMerge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  <w:r w:rsidR="00792AB9">
              <w:rPr>
                <w:rFonts w:ascii="Calibri" w:eastAsia="Calibri" w:hAnsi="Calibri" w:cs="Times New Roman"/>
                <w:sz w:val="21"/>
                <w:szCs w:val="21"/>
              </w:rPr>
              <w:t xml:space="preserve"> - 3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CB04A0" w:rsidRPr="00D16CB1" w:rsidRDefault="00CB04A0" w:rsidP="00CB04A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CB04A0" w:rsidRPr="00D16CB1" w:rsidTr="00CB04A0">
        <w:trPr>
          <w:trHeight w:val="415"/>
        </w:trPr>
        <w:tc>
          <w:tcPr>
            <w:tcW w:w="1526" w:type="dxa"/>
            <w:vMerge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CB04A0" w:rsidRPr="00D16CB1" w:rsidRDefault="00CB04A0" w:rsidP="00CB04A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4 a více aktivit</w:t>
            </w:r>
          </w:p>
        </w:tc>
        <w:tc>
          <w:tcPr>
            <w:tcW w:w="880" w:type="dxa"/>
            <w:vAlign w:val="center"/>
          </w:tcPr>
          <w:p w:rsidR="00CB04A0" w:rsidRPr="00D16CB1" w:rsidRDefault="00CB04A0" w:rsidP="00CB04A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E030B8" w:rsidRDefault="00E030B8" w:rsidP="00D16CB1">
      <w:pPr>
        <w:ind w:firstLine="0"/>
        <w:jc w:val="left"/>
        <w:rPr>
          <w:rFonts w:ascii="Calibri" w:eastAsia="Calibri" w:hAnsi="Calibri" w:cs="Times New Roman"/>
          <w:sz w:val="22"/>
        </w:rPr>
      </w:pPr>
    </w:p>
    <w:p w:rsidR="00D16CB1" w:rsidRPr="00D16CB1" w:rsidRDefault="00D16CB1" w:rsidP="00D16CB1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CD45E9">
        <w:rPr>
          <w:rFonts w:ascii="Calibri" w:eastAsia="Calibri" w:hAnsi="Calibri" w:cs="Times New Roman"/>
          <w:sz w:val="22"/>
        </w:rPr>
        <w:t>III. Indikátory zdraví a sociálního prostředí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D16CB1" w:rsidRPr="00D16CB1" w:rsidTr="004F3068">
        <w:tc>
          <w:tcPr>
            <w:tcW w:w="1526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D16CB1" w:rsidRPr="00D16CB1" w:rsidTr="004F3068">
        <w:trPr>
          <w:trHeight w:val="415"/>
        </w:trPr>
        <w:tc>
          <w:tcPr>
            <w:tcW w:w="1526" w:type="dxa"/>
            <w:vMerge w:val="restart"/>
            <w:vAlign w:val="center"/>
          </w:tcPr>
          <w:p w:rsidR="00D16CB1" w:rsidRPr="00D16CB1" w:rsidRDefault="00697725" w:rsidP="00697725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Prevence 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>sociálně-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patologických jevů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697725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Škola pracuje s reálnými sociálně-patologickými jevy</w:t>
            </w:r>
          </w:p>
          <w:p w:rsidR="00D16CB1" w:rsidRPr="00D16CB1" w:rsidRDefault="00D16CB1" w:rsidP="00697725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697725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 - nepracuje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4F3068">
        <w:trPr>
          <w:trHeight w:val="415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697725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Pracuje částečně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4F3068">
        <w:trPr>
          <w:trHeight w:val="415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697725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Pracuje aktivně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CD45E9">
        <w:trPr>
          <w:trHeight w:val="477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Realizace opatření na minimalizaci rizikových faktorů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</w:t>
            </w:r>
            <w:r w:rsidR="001A0F7E">
              <w:rPr>
                <w:rFonts w:ascii="Calibri" w:eastAsia="Calibri" w:hAnsi="Calibri" w:cs="Times New Roman"/>
                <w:sz w:val="21"/>
                <w:szCs w:val="21"/>
              </w:rPr>
              <w:t xml:space="preserve"> ve spolupráci se zřizovatelem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realizuje aktivity, jež mají za cíl snížit, odstranit či předcházet vzniku fyzikálních, chemických, biologických, sociálně-ekonomických rizikových faktorů zdraví.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protihlukové bariéry, zateplení, klimatizace, dezinfekce</w:t>
            </w:r>
            <w:r w:rsidR="001A0F7E">
              <w:rPr>
                <w:rFonts w:ascii="Calibri" w:eastAsia="Calibri" w:hAnsi="Calibri" w:cs="Times New Roman"/>
                <w:i/>
                <w:sz w:val="21"/>
                <w:szCs w:val="21"/>
              </w:rPr>
              <w:t>, rekuperace</w:t>
            </w: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…) 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žádné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D45E9">
        <w:trPr>
          <w:trHeight w:val="412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 realizovaná aktivita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D45E9">
        <w:trPr>
          <w:trHeight w:val="56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 a více realizovaných aktivit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4F3068">
        <w:trPr>
          <w:trHeight w:val="32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Výskyt užívání návykových látek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Ve škole se objevily případy výskytu užívání návykových látek způsobujících závislost. 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drogy, alkohol, tabákové výrobky…)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4F3068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Ano </w:t>
            </w:r>
            <w:r w:rsidR="004F3068">
              <w:rPr>
                <w:rFonts w:ascii="Calibri" w:eastAsia="Calibri" w:hAnsi="Calibri" w:cs="Times New Roman"/>
                <w:sz w:val="21"/>
                <w:szCs w:val="21"/>
              </w:rPr>
              <w:t>–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</w:t>
            </w:r>
            <w:r w:rsidR="004F3068">
              <w:rPr>
                <w:rFonts w:ascii="Calibri" w:eastAsia="Calibri" w:hAnsi="Calibri" w:cs="Times New Roman"/>
                <w:sz w:val="21"/>
                <w:szCs w:val="21"/>
              </w:rPr>
              <w:t xml:space="preserve">více případů 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4F3068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4F3068" w:rsidP="007D46D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Ano – </w:t>
            </w:r>
            <w:proofErr w:type="spellStart"/>
            <w:r w:rsidR="007D46D7">
              <w:rPr>
                <w:rFonts w:ascii="Calibri" w:eastAsia="Calibri" w:hAnsi="Calibri" w:cs="Times New Roman"/>
                <w:sz w:val="21"/>
                <w:szCs w:val="21"/>
              </w:rPr>
              <w:t>vyjímečně</w:t>
            </w:r>
            <w:proofErr w:type="spellEnd"/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4F3068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Ne </w:t>
            </w:r>
            <w:r w:rsidR="001F11B9">
              <w:rPr>
                <w:rFonts w:ascii="Calibri" w:eastAsia="Calibri" w:hAnsi="Calibri" w:cs="Times New Roman"/>
                <w:sz w:val="21"/>
                <w:szCs w:val="21"/>
              </w:rPr>
              <w:t>–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žádné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1F11B9">
        <w:trPr>
          <w:trHeight w:val="256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Úroveň stravování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Procento dětí, pedagogů a dalších subjektů školy pravidelně se stravujících k</w:t>
            </w:r>
            <w:r w:rsidR="001F11B9">
              <w:rPr>
                <w:rFonts w:ascii="Calibri" w:eastAsia="Calibri" w:hAnsi="Calibri" w:cs="Times New Roman"/>
                <w:sz w:val="21"/>
                <w:szCs w:val="21"/>
              </w:rPr>
              <w:t> 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celkovému počtu. 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 – 50 %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1F11B9">
        <w:trPr>
          <w:trHeight w:val="256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51 – 75 %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1F11B9">
        <w:trPr>
          <w:trHeight w:val="257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76 – 100 %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F11B9" w:rsidRPr="00D16CB1" w:rsidTr="001F11B9">
        <w:trPr>
          <w:trHeight w:val="383"/>
        </w:trPr>
        <w:tc>
          <w:tcPr>
            <w:tcW w:w="1526" w:type="dxa"/>
            <w:vMerge w:val="restart"/>
            <w:vAlign w:val="center"/>
          </w:tcPr>
          <w:p w:rsidR="00CD45E9" w:rsidRDefault="00CD45E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  <w:p w:rsidR="001F11B9" w:rsidRDefault="001F11B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Podpora stravování</w:t>
            </w:r>
          </w:p>
          <w:p w:rsidR="001F11B9" w:rsidRPr="00D16CB1" w:rsidRDefault="001F11B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1F11B9" w:rsidRPr="00D16CB1" w:rsidRDefault="001F11B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Škola účinně podporuje pravidelné stravování dětí ze sociálně slabých rodin (např. obědy pro děti)</w:t>
            </w:r>
          </w:p>
        </w:tc>
        <w:tc>
          <w:tcPr>
            <w:tcW w:w="3260" w:type="dxa"/>
            <w:vAlign w:val="center"/>
          </w:tcPr>
          <w:p w:rsidR="001F11B9" w:rsidRPr="00D16CB1" w:rsidRDefault="001F11B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 – žádná podpora</w:t>
            </w:r>
          </w:p>
        </w:tc>
        <w:tc>
          <w:tcPr>
            <w:tcW w:w="880" w:type="dxa"/>
            <w:vAlign w:val="center"/>
          </w:tcPr>
          <w:p w:rsidR="001F11B9" w:rsidRPr="00D16CB1" w:rsidRDefault="001F11B9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F11B9" w:rsidRPr="00D16CB1" w:rsidTr="00CD45E9">
        <w:trPr>
          <w:trHeight w:val="544"/>
        </w:trPr>
        <w:tc>
          <w:tcPr>
            <w:tcW w:w="1526" w:type="dxa"/>
            <w:vMerge/>
            <w:vAlign w:val="center"/>
          </w:tcPr>
          <w:p w:rsidR="001F11B9" w:rsidRDefault="001F11B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F11B9" w:rsidRDefault="001F11B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F11B9" w:rsidRPr="00D16CB1" w:rsidRDefault="001F11B9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Ano – aktivní podpora</w:t>
            </w:r>
          </w:p>
        </w:tc>
        <w:tc>
          <w:tcPr>
            <w:tcW w:w="880" w:type="dxa"/>
            <w:vAlign w:val="center"/>
          </w:tcPr>
          <w:p w:rsidR="001F11B9" w:rsidRPr="00D16CB1" w:rsidRDefault="001F11B9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1F11B9">
        <w:trPr>
          <w:trHeight w:val="28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Úroveň participace 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Účast subjektů školy (děti, pedagogové, další zaměstnanci) a široké komunity (rodiče, instituce…) na chodu školy. 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žádná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1F11B9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Na úrovni školské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1F11B9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Na úrovni široké komunity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CD45E9">
        <w:trPr>
          <w:trHeight w:val="425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Účast na tvorbě místního prostředí 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se aktivně podílí svými aktivitami na tvorbě místního prostředí.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prostřednictvím umístění ptačích budek, starost o útulky, čistění potoků, přikrmování zvířat, tvorba naučných chodníků, výsadba stromů, obnova místních tradicí a kultury, finanční sbírky …)</w:t>
            </w:r>
          </w:p>
        </w:tc>
        <w:tc>
          <w:tcPr>
            <w:tcW w:w="3260" w:type="dxa"/>
            <w:vAlign w:val="center"/>
          </w:tcPr>
          <w:p w:rsidR="00D16CB1" w:rsidRPr="00D16CB1" w:rsidRDefault="00CB04A0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0-1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D45E9">
        <w:trPr>
          <w:trHeight w:val="417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CB04A0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2-4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D45E9">
        <w:trPr>
          <w:trHeight w:val="537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CB04A0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5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 více aktivit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D16CB1" w:rsidRDefault="00D16CB1" w:rsidP="00D16CB1"/>
    <w:p w:rsidR="00D16CB1" w:rsidRPr="00D16CB1" w:rsidRDefault="00D16CB1" w:rsidP="00D16CB1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D16CB1">
        <w:rPr>
          <w:rFonts w:ascii="Calibri" w:eastAsia="Calibri" w:hAnsi="Calibri" w:cs="Times New Roman"/>
          <w:sz w:val="22"/>
        </w:rPr>
        <w:t>IV. Indikátory provozní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D16CB1" w:rsidRPr="00D16CB1" w:rsidTr="007005C3">
        <w:tc>
          <w:tcPr>
            <w:tcW w:w="1526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D16CB1" w:rsidRPr="00D16CB1" w:rsidTr="00493ABE">
        <w:trPr>
          <w:trHeight w:val="664"/>
        </w:trPr>
        <w:tc>
          <w:tcPr>
            <w:tcW w:w="1526" w:type="dxa"/>
            <w:vMerge w:val="restart"/>
            <w:vAlign w:val="center"/>
          </w:tcPr>
          <w:p w:rsidR="00AD0BB7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Nakládání 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 odpady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AE0CE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má vypracovaný detailní postup jak nakládat s</w:t>
            </w:r>
            <w:r w:rsidR="00AE0CE0">
              <w:rPr>
                <w:rFonts w:ascii="Calibri" w:eastAsia="Calibri" w:hAnsi="Calibri" w:cs="Times New Roman"/>
                <w:sz w:val="21"/>
                <w:szCs w:val="21"/>
              </w:rPr>
              <w:t> 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odpady</w:t>
            </w:r>
            <w:r w:rsidR="00AE0CE0">
              <w:rPr>
                <w:rFonts w:ascii="Calibri" w:eastAsia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žádný dostupný postup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CD45E9">
        <w:trPr>
          <w:trHeight w:val="548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AE0CE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Vypracovaný postup 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CD45E9">
        <w:trPr>
          <w:trHeight w:val="553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Default="00D16CB1" w:rsidP="00AE0CE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Vypracovaný postup je </w:t>
            </w:r>
            <w:r w:rsidR="00AE0CE0">
              <w:rPr>
                <w:rFonts w:ascii="Calibri" w:eastAsia="Calibri" w:hAnsi="Calibri" w:cs="Times New Roman"/>
                <w:sz w:val="21"/>
                <w:szCs w:val="21"/>
              </w:rPr>
              <w:t>uplatňován v denní praxi</w:t>
            </w:r>
          </w:p>
          <w:p w:rsidR="00E030B8" w:rsidRPr="00D16CB1" w:rsidRDefault="00E030B8" w:rsidP="00AE0CE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7005C3">
        <w:trPr>
          <w:trHeight w:val="32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lastRenderedPageBreak/>
              <w:t>Znovuvyužití odpadu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realizuje aktivity zaměřené na znovu využití odpadu.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sběr papíru, burzy knih, hraček, šatstva…)</w:t>
            </w:r>
          </w:p>
        </w:tc>
        <w:tc>
          <w:tcPr>
            <w:tcW w:w="3260" w:type="dxa"/>
            <w:vAlign w:val="center"/>
          </w:tcPr>
          <w:p w:rsidR="00D16CB1" w:rsidRPr="00D16CB1" w:rsidRDefault="007005C3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0-1 aktivity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7005C3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7005C3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2-3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7005C3">
        <w:trPr>
          <w:trHeight w:val="33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7005C3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4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 více aktivit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7005C3">
        <w:trPr>
          <w:trHeight w:val="28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Celoroční separace odpadu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realizuje celoročně sběr separovaného odpadu, a to přímo v místě jeho vzniku či v prostorách na to určených.</w:t>
            </w:r>
          </w:p>
        </w:tc>
        <w:tc>
          <w:tcPr>
            <w:tcW w:w="3260" w:type="dxa"/>
            <w:vAlign w:val="center"/>
          </w:tcPr>
          <w:p w:rsidR="00D16CB1" w:rsidRPr="00D16CB1" w:rsidRDefault="00BC46DC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0-1 komodity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7005C3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BC46DC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2-3 komodity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7005C3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BC46DC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4 a více komodity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141B21">
        <w:trPr>
          <w:trHeight w:val="289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Třídění bioodpadu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8D4E22" w:rsidP="008D4E22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Škola zhodnocuje bioodpad 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prostřednictvím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kompostérů nebo </w:t>
            </w:r>
            <w:proofErr w:type="spellStart"/>
            <w:r>
              <w:rPr>
                <w:rFonts w:ascii="Calibri" w:eastAsia="Calibri" w:hAnsi="Calibri" w:cs="Times New Roman"/>
                <w:sz w:val="21"/>
                <w:szCs w:val="21"/>
              </w:rPr>
              <w:t>kompostejnerů</w:t>
            </w:r>
            <w:proofErr w:type="spellEnd"/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nerealizuje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141B21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- 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141B21">
        <w:trPr>
          <w:trHeight w:val="290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Ano - realizuje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AD0BB7">
        <w:trPr>
          <w:trHeight w:val="731"/>
        </w:trPr>
        <w:tc>
          <w:tcPr>
            <w:tcW w:w="1526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Nákup environmentálně šetrnějších výrobků</w:t>
            </w:r>
          </w:p>
        </w:tc>
        <w:tc>
          <w:tcPr>
            <w:tcW w:w="4678" w:type="dxa"/>
            <w:vMerge w:val="restart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Podíl spotřebního zboží a drobného hmotného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majetku (DHM) s pozitivním vlivem na UR.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Indikátor sleduje podíl veškerého nakupovaného</w:t>
            </w:r>
          </w:p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zboží (spotřebního materiálu i DHM) s prokazatelným pozitivním vlivem na UR.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 – 20 %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141B21">
        <w:trPr>
          <w:trHeight w:val="421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21 – 50 %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141B21">
        <w:trPr>
          <w:trHeight w:val="421"/>
        </w:trPr>
        <w:tc>
          <w:tcPr>
            <w:tcW w:w="1526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51 % a více</w:t>
            </w:r>
          </w:p>
        </w:tc>
        <w:tc>
          <w:tcPr>
            <w:tcW w:w="880" w:type="dxa"/>
            <w:vAlign w:val="center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D16CB1" w:rsidRPr="00D16CB1" w:rsidTr="00AD0BB7">
        <w:trPr>
          <w:trHeight w:val="282"/>
        </w:trPr>
        <w:tc>
          <w:tcPr>
            <w:tcW w:w="1526" w:type="dxa"/>
            <w:vMerge w:val="restart"/>
            <w:vAlign w:val="center"/>
          </w:tcPr>
          <w:p w:rsidR="00D16CB1" w:rsidRPr="00D16CB1" w:rsidRDefault="00141B2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Nákup regionálních </w:t>
            </w:r>
            <w:r w:rsidR="00D16CB1" w:rsidRPr="00D16CB1">
              <w:rPr>
                <w:rFonts w:ascii="Calibri" w:eastAsia="Calibri" w:hAnsi="Calibri" w:cs="Times New Roman"/>
                <w:sz w:val="21"/>
                <w:szCs w:val="21"/>
              </w:rPr>
              <w:t>potravin</w:t>
            </w:r>
          </w:p>
        </w:tc>
        <w:tc>
          <w:tcPr>
            <w:tcW w:w="4678" w:type="dxa"/>
            <w:vMerge w:val="restart"/>
            <w:vAlign w:val="center"/>
          </w:tcPr>
          <w:p w:rsidR="00141B21" w:rsidRPr="00D16CB1" w:rsidRDefault="00D16CB1" w:rsidP="00141B2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Procento </w:t>
            </w:r>
            <w:r w:rsidR="00141B21">
              <w:rPr>
                <w:rFonts w:ascii="Calibri" w:eastAsia="Calibri" w:hAnsi="Calibri" w:cs="Times New Roman"/>
                <w:sz w:val="21"/>
                <w:szCs w:val="21"/>
              </w:rPr>
              <w:t xml:space="preserve">regionálních 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potravin k celkov</w:t>
            </w:r>
            <w:r w:rsidR="00141B21">
              <w:rPr>
                <w:rFonts w:ascii="Calibri" w:eastAsia="Calibri" w:hAnsi="Calibri" w:cs="Times New Roman"/>
                <w:sz w:val="21"/>
                <w:szCs w:val="21"/>
              </w:rPr>
              <w:t>ému počtu nakupovaných potravin ve školní jídelně (příp. bufetu)</w:t>
            </w: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 – 20 %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D16CB1" w:rsidRPr="00D16CB1" w:rsidTr="00141B21">
        <w:trPr>
          <w:trHeight w:val="256"/>
        </w:trPr>
        <w:tc>
          <w:tcPr>
            <w:tcW w:w="1526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21 – 50 %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D16CB1" w:rsidRPr="00D16CB1" w:rsidTr="00AD0BB7">
        <w:trPr>
          <w:trHeight w:val="267"/>
        </w:trPr>
        <w:tc>
          <w:tcPr>
            <w:tcW w:w="1526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D16CB1" w:rsidRPr="00D16CB1" w:rsidRDefault="00D16CB1" w:rsidP="00D16CB1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51 % a více</w:t>
            </w:r>
          </w:p>
        </w:tc>
        <w:tc>
          <w:tcPr>
            <w:tcW w:w="880" w:type="dxa"/>
          </w:tcPr>
          <w:p w:rsidR="00D16CB1" w:rsidRPr="00D16CB1" w:rsidRDefault="00D16CB1" w:rsidP="00D16CB1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42EDF" w:rsidRPr="00141B21" w:rsidTr="00764E70">
        <w:trPr>
          <w:trHeight w:val="391"/>
        </w:trPr>
        <w:tc>
          <w:tcPr>
            <w:tcW w:w="1526" w:type="dxa"/>
            <w:vMerge w:val="restart"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Opatření</w:t>
            </w: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 xml:space="preserve"> na snížení vlivu dopravy na ŽP</w:t>
            </w:r>
          </w:p>
        </w:tc>
        <w:tc>
          <w:tcPr>
            <w:tcW w:w="4678" w:type="dxa"/>
            <w:vMerge w:val="restart"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 xml:space="preserve">Celkový počet aktivit, jež škola realizuje za účelem snížení vlivu dopravy na životní prostředí. </w:t>
            </w:r>
          </w:p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(např. umístění stojanů na kola, omezení vjezdu osobních aut do areálu </w:t>
            </w:r>
            <w:proofErr w:type="gramStart"/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školy..)</w:t>
            </w:r>
            <w:proofErr w:type="gramEnd"/>
          </w:p>
        </w:tc>
        <w:tc>
          <w:tcPr>
            <w:tcW w:w="3260" w:type="dxa"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Ne - žádné</w:t>
            </w:r>
          </w:p>
        </w:tc>
        <w:tc>
          <w:tcPr>
            <w:tcW w:w="880" w:type="dxa"/>
            <w:vAlign w:val="center"/>
          </w:tcPr>
          <w:p w:rsidR="00A42EDF" w:rsidRPr="00141B21" w:rsidRDefault="00A42EDF" w:rsidP="00764E7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42EDF" w:rsidRPr="00141B21" w:rsidTr="00764E70">
        <w:trPr>
          <w:trHeight w:val="269"/>
        </w:trPr>
        <w:tc>
          <w:tcPr>
            <w:tcW w:w="1526" w:type="dxa"/>
            <w:vMerge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 aktivita</w:t>
            </w:r>
          </w:p>
        </w:tc>
        <w:tc>
          <w:tcPr>
            <w:tcW w:w="880" w:type="dxa"/>
            <w:vAlign w:val="center"/>
          </w:tcPr>
          <w:p w:rsidR="00A42EDF" w:rsidRPr="00141B21" w:rsidRDefault="00A42EDF" w:rsidP="00764E7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42EDF" w:rsidRPr="00D16CB1" w:rsidTr="00764E70">
        <w:trPr>
          <w:trHeight w:val="506"/>
        </w:trPr>
        <w:tc>
          <w:tcPr>
            <w:tcW w:w="1526" w:type="dxa"/>
            <w:vMerge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42EDF" w:rsidRPr="00141B21" w:rsidRDefault="00A42EDF" w:rsidP="00764E70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 a více aktivit</w:t>
            </w:r>
          </w:p>
        </w:tc>
        <w:tc>
          <w:tcPr>
            <w:tcW w:w="880" w:type="dxa"/>
            <w:vAlign w:val="center"/>
          </w:tcPr>
          <w:p w:rsidR="00A42EDF" w:rsidRPr="00D16CB1" w:rsidRDefault="00A42EDF" w:rsidP="00764E70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2070F8" w:rsidRDefault="002070F8" w:rsidP="00141B21">
      <w:pPr>
        <w:ind w:firstLine="0"/>
      </w:pPr>
    </w:p>
    <w:p w:rsidR="00D432F8" w:rsidRDefault="00141B21" w:rsidP="00141B21">
      <w:pPr>
        <w:ind w:firstLine="0"/>
      </w:pPr>
      <w:r>
        <w:t>V. Indikátory provozní – vyplní zřizovatel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141B21" w:rsidRPr="00141B21" w:rsidTr="00033E17">
        <w:trPr>
          <w:trHeight w:val="256"/>
        </w:trPr>
        <w:tc>
          <w:tcPr>
            <w:tcW w:w="1526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Realizace technických opatření na snížení spotřeby vody</w:t>
            </w:r>
          </w:p>
        </w:tc>
        <w:tc>
          <w:tcPr>
            <w:tcW w:w="4678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vyměněných záchodových splachovačů za dvojfázové k celkovému počtu.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41B21" w:rsidRPr="00141B21" w:rsidTr="00033E17">
        <w:trPr>
          <w:trHeight w:val="256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41B21" w:rsidRPr="00141B21" w:rsidTr="00033E17">
        <w:trPr>
          <w:trHeight w:val="257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41B21" w:rsidRPr="00141B21" w:rsidTr="00033E17">
        <w:trPr>
          <w:trHeight w:val="289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vyměněných vodovodních baterií za baterie na fotobuňku nebo pákové baterie k celkovému počtu.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41B21" w:rsidRPr="00141B2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41B21" w:rsidRPr="00141B2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41B21" w:rsidRPr="00141B21" w:rsidTr="00033E17">
        <w:tc>
          <w:tcPr>
            <w:tcW w:w="1526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Roční spotřeba vody</w:t>
            </w:r>
          </w:p>
        </w:tc>
        <w:tc>
          <w:tcPr>
            <w:tcW w:w="4678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Celkové množství spotřebované vody přepočtené na jeden subjekt školy.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poměr&gt;1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41B21" w:rsidRPr="00141B21" w:rsidTr="00033E17"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=1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41B21" w:rsidRPr="00141B21" w:rsidTr="00033E17"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&lt; 1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41B21" w:rsidRPr="00141B21" w:rsidTr="00033E17">
        <w:trPr>
          <w:trHeight w:val="334"/>
        </w:trPr>
        <w:tc>
          <w:tcPr>
            <w:tcW w:w="1526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Realizace technických opatření na snížení spotřeby energie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vyměněných žárovek za úspornější světelné zdroje k celkovému počtu.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41B21" w:rsidRPr="00141B21" w:rsidTr="00033E17">
        <w:trPr>
          <w:trHeight w:val="335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41B21" w:rsidRPr="00141B21" w:rsidTr="00033E17">
        <w:trPr>
          <w:trHeight w:val="334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  <w:vAlign w:val="center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41B21" w:rsidRPr="00141B21" w:rsidTr="00033E17">
        <w:trPr>
          <w:trHeight w:val="335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místností s nainstalovanými termostatickými regulátory k celkovému počtu místností školy.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41B21" w:rsidRPr="00141B21" w:rsidTr="00033E17">
        <w:trPr>
          <w:trHeight w:val="334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41B21" w:rsidRPr="00141B21" w:rsidTr="00033E17">
        <w:trPr>
          <w:trHeight w:val="335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41B21" w:rsidRPr="00141B21" w:rsidTr="00033E17">
        <w:tc>
          <w:tcPr>
            <w:tcW w:w="1526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Roční spotřeba elektrické energie</w:t>
            </w:r>
          </w:p>
        </w:tc>
        <w:tc>
          <w:tcPr>
            <w:tcW w:w="4678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Celkové množství spotřebované elektrické energie v daném školním roce k roku předchozímu.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poměr&gt;1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41B21" w:rsidRPr="00141B21" w:rsidTr="00033E17"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=1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41B21" w:rsidRPr="00141B21" w:rsidTr="00033E17"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&lt; 1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141B21" w:rsidRPr="00141B21" w:rsidTr="00033E17">
        <w:tc>
          <w:tcPr>
            <w:tcW w:w="1526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Roční spotřeba tepelné energie</w:t>
            </w:r>
          </w:p>
        </w:tc>
        <w:tc>
          <w:tcPr>
            <w:tcW w:w="4678" w:type="dxa"/>
            <w:vMerge w:val="restart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Celkové množství spotřebované tepelné energie v daném školním roce k roku předchozímu.</w:t>
            </w:r>
          </w:p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Data dodá energetický manažer. </w:t>
            </w: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poměr&gt;1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141B21" w:rsidRPr="00141B21" w:rsidTr="00F77C60">
        <w:trPr>
          <w:trHeight w:val="211"/>
        </w:trPr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=1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141B21" w:rsidRPr="00141B21" w:rsidTr="00033E17">
        <w:tc>
          <w:tcPr>
            <w:tcW w:w="1526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141B21" w:rsidRPr="00141B21" w:rsidRDefault="00141B21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&lt; 1</w:t>
            </w:r>
          </w:p>
        </w:tc>
        <w:tc>
          <w:tcPr>
            <w:tcW w:w="880" w:type="dxa"/>
          </w:tcPr>
          <w:p w:rsidR="00141B21" w:rsidRPr="00141B21" w:rsidRDefault="00141B21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A61EFB" w:rsidRPr="00D51D30" w:rsidRDefault="00A61EFB" w:rsidP="00A61EFB">
      <w:pPr>
        <w:ind w:firstLine="0"/>
        <w:jc w:val="left"/>
        <w:rPr>
          <w:rFonts w:ascii="Calibri" w:eastAsia="Calibri" w:hAnsi="Calibri" w:cs="Times New Roman"/>
          <w:b/>
          <w:color w:val="4F81BD" w:themeColor="accent1"/>
          <w:sz w:val="28"/>
          <w:szCs w:val="28"/>
        </w:rPr>
      </w:pPr>
      <w:r w:rsidRPr="00D51D30">
        <w:rPr>
          <w:rFonts w:ascii="Calibri" w:eastAsia="Calibri" w:hAnsi="Calibri" w:cs="Times New Roman"/>
          <w:b/>
          <w:color w:val="4F81BD" w:themeColor="accent1"/>
          <w:sz w:val="28"/>
          <w:szCs w:val="28"/>
        </w:rPr>
        <w:lastRenderedPageBreak/>
        <w:t xml:space="preserve">HODNOCENÍ UDRŽITELNÉHO ROZVOJE </w:t>
      </w:r>
      <w:r>
        <w:rPr>
          <w:rFonts w:ascii="Calibri" w:eastAsia="Calibri" w:hAnsi="Calibri" w:cs="Times New Roman"/>
          <w:b/>
          <w:color w:val="4F81BD" w:themeColor="accent1"/>
          <w:sz w:val="28"/>
          <w:szCs w:val="28"/>
        </w:rPr>
        <w:t>ZÁKLADNÍCH</w:t>
      </w:r>
      <w:r w:rsidRPr="00D51D30">
        <w:rPr>
          <w:rFonts w:ascii="Calibri" w:eastAsia="Calibri" w:hAnsi="Calibri" w:cs="Times New Roman"/>
          <w:b/>
          <w:color w:val="4F81BD" w:themeColor="accent1"/>
          <w:sz w:val="28"/>
          <w:szCs w:val="28"/>
        </w:rPr>
        <w:t xml:space="preserve"> ŠKOL </w:t>
      </w:r>
    </w:p>
    <w:p w:rsidR="00A61EFB" w:rsidRDefault="00A61EFB" w:rsidP="00A61EFB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D16CB1">
        <w:rPr>
          <w:rFonts w:ascii="Calibri" w:eastAsia="Calibri" w:hAnsi="Calibri" w:cs="Times New Roman"/>
          <w:sz w:val="22"/>
        </w:rPr>
        <w:t>I. Indikátory managementu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A61EFB" w:rsidRPr="00D16CB1" w:rsidTr="00033E17">
        <w:tc>
          <w:tcPr>
            <w:tcW w:w="1526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A61EFB" w:rsidRPr="00D16CB1" w:rsidTr="00033E17">
        <w:trPr>
          <w:trHeight w:val="375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Modely řízení školy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a projekty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Certifikované modely a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projekty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školy v oblasti řízení podporují UR.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(např. EMS, Zdravá škola, </w:t>
            </w:r>
            <w:r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Světová škola, Etická škola, </w:t>
            </w:r>
            <w:proofErr w:type="spellStart"/>
            <w:r>
              <w:rPr>
                <w:rFonts w:ascii="Calibri" w:eastAsia="Calibri" w:hAnsi="Calibri" w:cs="Times New Roman"/>
                <w:i/>
                <w:sz w:val="21"/>
                <w:szCs w:val="21"/>
              </w:rPr>
              <w:t>Ekoškola</w:t>
            </w:r>
            <w:proofErr w:type="spellEnd"/>
            <w:r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, </w:t>
            </w: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Bezpečná škola 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žádné nepodporují UR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375"/>
        </w:trPr>
        <w:tc>
          <w:tcPr>
            <w:tcW w:w="1526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Necertifikované projekty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375"/>
        </w:trPr>
        <w:tc>
          <w:tcPr>
            <w:tcW w:w="1526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Certifikované projekty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Spolupráce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s veřejností a prezentace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školy 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A61EFB">
            <w:pPr>
              <w:ind w:firstLine="0"/>
              <w:jc w:val="left"/>
              <w:rPr>
                <w:rFonts w:ascii="Calibri" w:eastAsia="Calibri" w:hAnsi="Calibri" w:cs="Times New Roman"/>
                <w:color w:val="FF0000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spolupracuje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a propaguje vůči široké veřejnosti problematiku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UR. Posuzováno ve všech oblastech školy (management, výchova a vzdělání, zdraví a sociální prostředí, provoz). Podmínky podpory zdraví v 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Z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 (Kurikulum podpory zdraví).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žádná spolupráce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ani propagace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Spolupráce v některých oblastech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Spolupráce ve všech oblastech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A61EFB" w:rsidRDefault="00A61EFB" w:rsidP="00A61EFB">
      <w:pPr>
        <w:ind w:firstLine="0"/>
        <w:jc w:val="left"/>
        <w:rPr>
          <w:rFonts w:ascii="Calibri" w:eastAsia="Calibri" w:hAnsi="Calibri" w:cs="Times New Roman"/>
          <w:sz w:val="22"/>
        </w:rPr>
      </w:pPr>
    </w:p>
    <w:p w:rsidR="00A61EFB" w:rsidRPr="00D16CB1" w:rsidRDefault="00A61EFB" w:rsidP="00A61EFB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3B031D">
        <w:rPr>
          <w:rFonts w:ascii="Calibri" w:eastAsia="Calibri" w:hAnsi="Calibri" w:cs="Times New Roman"/>
          <w:sz w:val="22"/>
        </w:rPr>
        <w:t>II. Indikátory výchovy a vzdělání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A61EFB" w:rsidRPr="00D16CB1" w:rsidTr="00033E17">
        <w:tc>
          <w:tcPr>
            <w:tcW w:w="1526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A61EFB" w:rsidRPr="00D16CB1" w:rsidTr="00033E17">
        <w:trPr>
          <w:trHeight w:val="500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Zařazení tematických částí s problematikou UR do činností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Ve vzdělávacím programu školy jsou obsaženy tematické části, témata, dílčí cíle a ukazatele vzdělání, zaměřené svým obsahem na problematiku UR.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environmentální výchova, ekologie, ochrana přírody a krajiny…)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žádné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501"/>
        </w:trPr>
        <w:tc>
          <w:tcPr>
            <w:tcW w:w="1526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Jedna aktivita či projekt zaměřený na UR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501"/>
        </w:trPr>
        <w:tc>
          <w:tcPr>
            <w:tcW w:w="1526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Více aktivit a projektů zaměřených na UR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32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Děti podílející se na aktivitách vztahující se k tématu UR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Zapojení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</w:t>
            </w:r>
            <w:r w:rsidR="00F33A78">
              <w:rPr>
                <w:rFonts w:ascii="Calibri" w:eastAsia="Calibri" w:hAnsi="Calibri" w:cs="Times New Roman"/>
                <w:sz w:val="21"/>
                <w:szCs w:val="21"/>
              </w:rPr>
              <w:t>žáků, kteří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se věnují v rámci vzdělávacích aktivit problematice UR k celkovému počtu.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color w:val="FF0000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prostřednictvím soutěží, přednášek, třídění hliníku, Ukliďme svět 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 – nezapojily se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Zapojení do dílčích aktivit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Zapojení do celoškolních projektů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28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Úroveň realizovaných aktivit školy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Aktivity, jež škola realizuje v rámci problematiky UR, jsou organizovány na školské, regionální, národní či mezinárodní úrovni.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Školské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(v rámci jedné školy)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Regionální 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Národní a m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ezinárodní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32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Realizace aktivit školy k tématu UR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Počet aktivit školy zaměřených na problematiku UR realizovaných pouze na školské úrovni. 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soutěže, výstavy, akce ke Dni Země, Dnům zdraví…)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1 -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4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5 - 9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10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 více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Technické zabezpečení pro výchovu a vzdělání k UR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Škola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využívá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kvalitní technické pomůcky používané pro výchovu a vzdělání k UR.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odborné učebny, ekoplochy, naučné chodníky, audiovizuální zdroje 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žádné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Pouze pro občasné aktivity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Časté využití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500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Vzdělávání pedagogů v oblasti UR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Pedagogové se účastní vzdělávacích akcí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v oblasti UR.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žádné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501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Menší část pedagogického sboru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501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Většina pedagogického sboru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340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Implementace nových vyučovacích metod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Pedagogové rozšiřují tradiční výchovu a vzdělání o nové metody a formy výuky (např. projektové dny, diskusní kruh, hry, modelové příběhy, experimenty, prožitkové učení, exkurze, pobyty v přírodě)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žádné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340"/>
        </w:trPr>
        <w:tc>
          <w:tcPr>
            <w:tcW w:w="1526" w:type="dxa"/>
            <w:vMerge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Menší část pedagogického sboru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340"/>
        </w:trPr>
        <w:tc>
          <w:tcPr>
            <w:tcW w:w="1526" w:type="dxa"/>
            <w:vMerge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Většina pedagogického sboru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340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lastRenderedPageBreak/>
              <w:t>Účast na tvorbě globálního prostředí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se aktivně podílí na tvorbě globálního prostředí.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prostřednictvím kampaní, adopce na dálku, Den Země, ETM a EDBA 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0 - 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 aktivita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- 3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4 a více aktivit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A61EFB" w:rsidRDefault="00A61EFB" w:rsidP="00A61EFB">
      <w:pPr>
        <w:ind w:firstLine="0"/>
        <w:jc w:val="left"/>
        <w:rPr>
          <w:rFonts w:ascii="Calibri" w:eastAsia="Calibri" w:hAnsi="Calibri" w:cs="Times New Roman"/>
          <w:sz w:val="22"/>
        </w:rPr>
      </w:pPr>
    </w:p>
    <w:p w:rsidR="00A61EFB" w:rsidRPr="00D16CB1" w:rsidRDefault="00A61EFB" w:rsidP="00A61EFB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CD45E9">
        <w:rPr>
          <w:rFonts w:ascii="Calibri" w:eastAsia="Calibri" w:hAnsi="Calibri" w:cs="Times New Roman"/>
          <w:sz w:val="22"/>
        </w:rPr>
        <w:t>III. Indikátory zdraví a sociálního prostředí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A61EFB" w:rsidRPr="00D16CB1" w:rsidTr="00033E17">
        <w:tc>
          <w:tcPr>
            <w:tcW w:w="1526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Prevence 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sociálně-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patologických jevů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Škola pracuje s reálnými sociálně-patologickými jevy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 - nepracuje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Pracuje částečně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415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Pracuje aktivně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477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Realizace opatření na minimalizaci rizikových faktorů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ve spolupráci se zřizovatelem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realizuje aktivity, jež mají za cíl snížit, odstranit či předcházet vzniku fyzikálních, chemických, biologických, sociálně-ekonomických rizikových faktorů zdraví.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protihlukové bariéry, zateplení, klimatizace, dezinfekce</w:t>
            </w:r>
            <w:r>
              <w:rPr>
                <w:rFonts w:ascii="Calibri" w:eastAsia="Calibri" w:hAnsi="Calibri" w:cs="Times New Roman"/>
                <w:i/>
                <w:sz w:val="21"/>
                <w:szCs w:val="21"/>
              </w:rPr>
              <w:t>, rekuperace</w:t>
            </w: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…) 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žádné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412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 realizovaná aktivita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56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 a více realizovaných aktivit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32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Výskyt užívání návykových látek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Ve škole se objevily případy výskytu užívání návykových látek způsobujících závislost. 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drogy, alkohol, tabákové výrobky…)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Ano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–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více případů 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Ano – </w:t>
            </w:r>
            <w:proofErr w:type="spellStart"/>
            <w:r>
              <w:rPr>
                <w:rFonts w:ascii="Calibri" w:eastAsia="Calibri" w:hAnsi="Calibri" w:cs="Times New Roman"/>
                <w:sz w:val="21"/>
                <w:szCs w:val="21"/>
              </w:rPr>
              <w:t>vyjímečně</w:t>
            </w:r>
            <w:proofErr w:type="spellEnd"/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Ne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–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žádné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256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Úroveň stravování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F33A78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Procento </w:t>
            </w:r>
            <w:r w:rsidR="00F33A78">
              <w:rPr>
                <w:rFonts w:ascii="Calibri" w:eastAsia="Calibri" w:hAnsi="Calibri" w:cs="Times New Roman"/>
                <w:sz w:val="21"/>
                <w:szCs w:val="21"/>
              </w:rPr>
              <w:t>žáků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, pedagogů a dalších subjektů školy pravidelně se stravujících k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 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celkovému počtu. 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 – 50 %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256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51 – 75 %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257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76 – 100 %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383"/>
        </w:trPr>
        <w:tc>
          <w:tcPr>
            <w:tcW w:w="1526" w:type="dxa"/>
            <w:vMerge w:val="restart"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Podpora stravování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F33A78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Škola účinně podporuje pravidelné stravování </w:t>
            </w:r>
            <w:r w:rsidR="00F33A78">
              <w:rPr>
                <w:rFonts w:ascii="Calibri" w:eastAsia="Calibri" w:hAnsi="Calibri" w:cs="Times New Roman"/>
                <w:sz w:val="21"/>
                <w:szCs w:val="21"/>
              </w:rPr>
              <w:t>žáků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 ze sociálně slabých rodin (např. obědy </w:t>
            </w:r>
            <w:r w:rsidR="00F33A78">
              <w:rPr>
                <w:rFonts w:ascii="Calibri" w:eastAsia="Calibri" w:hAnsi="Calibri" w:cs="Times New Roman"/>
                <w:sz w:val="21"/>
                <w:szCs w:val="21"/>
              </w:rPr>
              <w:t>do škol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Ne – žádná podpora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544"/>
        </w:trPr>
        <w:tc>
          <w:tcPr>
            <w:tcW w:w="1526" w:type="dxa"/>
            <w:vMerge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Ano – aktivní podpora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28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Úroveň participace 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067D84" w:rsidP="00067D84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Účast subjektů školy (žáci</w:t>
            </w:r>
            <w:r w:rsidR="00A61EFB"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, pedagogové, další zaměstnanci) a široké komunity (rodiče, instituce…) na chodu školy. 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žádná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Na úrovni školské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Na úrovni široké komunity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425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Účast na tvorbě místního prostředí 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se aktivně podílí svými aktivitami na tvorbě místního prostředí.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prostřednictvím umístění ptačích budek, starost o útulky, čistění potoků, přikrmování zvířat, tvorba naučných chodníků, výsadba stromů, obnova místních tradicí a kultury, finanční sbírky 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0-1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417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2-4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537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5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 více aktivit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A61EFB" w:rsidRDefault="00A61EFB" w:rsidP="00A61EFB"/>
    <w:p w:rsidR="00A61EFB" w:rsidRPr="00D16CB1" w:rsidRDefault="00A61EFB" w:rsidP="00A61EFB">
      <w:pPr>
        <w:ind w:firstLine="0"/>
        <w:jc w:val="left"/>
        <w:rPr>
          <w:rFonts w:ascii="Calibri" w:eastAsia="Calibri" w:hAnsi="Calibri" w:cs="Times New Roman"/>
          <w:sz w:val="22"/>
        </w:rPr>
      </w:pPr>
      <w:r w:rsidRPr="00D16CB1">
        <w:rPr>
          <w:rFonts w:ascii="Calibri" w:eastAsia="Calibri" w:hAnsi="Calibri" w:cs="Times New Roman"/>
          <w:sz w:val="22"/>
        </w:rPr>
        <w:t>IV. Indikátory provozní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A61EFB" w:rsidRPr="00D16CB1" w:rsidTr="00033E17">
        <w:tc>
          <w:tcPr>
            <w:tcW w:w="1526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Indikátor</w:t>
            </w:r>
          </w:p>
        </w:tc>
        <w:tc>
          <w:tcPr>
            <w:tcW w:w="4678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Charakteristika indikátoru</w:t>
            </w:r>
          </w:p>
        </w:tc>
        <w:tc>
          <w:tcPr>
            <w:tcW w:w="3260" w:type="dxa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b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b/>
                <w:sz w:val="21"/>
                <w:szCs w:val="21"/>
              </w:rPr>
              <w:t>Kritéria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b/>
                <w:sz w:val="18"/>
                <w:szCs w:val="18"/>
              </w:rPr>
            </w:pPr>
            <w:r w:rsidRPr="00D16CB1">
              <w:rPr>
                <w:rFonts w:ascii="Calibri" w:eastAsia="Calibri" w:hAnsi="Calibri" w:cs="Times New Roman"/>
                <w:b/>
                <w:sz w:val="18"/>
                <w:szCs w:val="18"/>
              </w:rPr>
              <w:t>Hodnota</w:t>
            </w:r>
          </w:p>
        </w:tc>
      </w:tr>
      <w:tr w:rsidR="00A61EFB" w:rsidRPr="00D16CB1" w:rsidTr="00033E17">
        <w:trPr>
          <w:trHeight w:val="664"/>
        </w:trPr>
        <w:tc>
          <w:tcPr>
            <w:tcW w:w="1526" w:type="dxa"/>
            <w:vMerge w:val="restart"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Nakládání 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s odpady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má vypracovaný detailní postup jak nakládat s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 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odpady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– žádný dostupný postup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548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Vypracovaný postup 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553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Vypracovaný postup je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uplatňován v denní praxi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32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lastRenderedPageBreak/>
              <w:t>Znovuvyužití odpadu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realizuje aktivity zaměřené na znovu využití odpadu.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i/>
                <w:sz w:val="21"/>
                <w:szCs w:val="21"/>
              </w:rPr>
              <w:t>(např. sběr papíru, burzy knih, hraček, šatstva…)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0-1 aktivity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2-3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aktivity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33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4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a více aktivit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28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Celoroční separace odpadu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Škola realizuje celoročně sběr separovaného odpadu, a to přímo v místě jeho vzniku či v prostorách na to určených.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0-1 komodity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2-3 komodity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4 a více komodity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289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Třídění bioodpadu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Škola zhodnocuje bioodpad 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prostřednictvím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kompostérů nebo </w:t>
            </w:r>
            <w:proofErr w:type="spellStart"/>
            <w:r>
              <w:rPr>
                <w:rFonts w:ascii="Calibri" w:eastAsia="Calibri" w:hAnsi="Calibri" w:cs="Times New Roman"/>
                <w:sz w:val="21"/>
                <w:szCs w:val="21"/>
              </w:rPr>
              <w:t>kompostejnerů</w:t>
            </w:r>
            <w:proofErr w:type="spellEnd"/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.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Ne - nerealizuje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 - 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Ano - realizuje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731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Nákup environmentálně šetrnějších výrobků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Podíl spotřebního zboží a drobného hmotného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majetku (DHM) s pozitivním vlivem na UR.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Indikátor sleduje podíl veškerého nakupovaného</w:t>
            </w:r>
          </w:p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zboží (spotřebního materiálu i DHM) s prokazatelným pozitivním vlivem na UR.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 – 20 %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421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21 – 50 %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421"/>
        </w:trPr>
        <w:tc>
          <w:tcPr>
            <w:tcW w:w="1526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51 % a více</w:t>
            </w:r>
          </w:p>
        </w:tc>
        <w:tc>
          <w:tcPr>
            <w:tcW w:w="880" w:type="dxa"/>
            <w:vAlign w:val="center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D16CB1" w:rsidTr="00033E17">
        <w:trPr>
          <w:trHeight w:val="282"/>
        </w:trPr>
        <w:tc>
          <w:tcPr>
            <w:tcW w:w="1526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Nákup regionálních 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potravin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 xml:space="preserve">Procento 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 xml:space="preserve">regionálních </w:t>
            </w: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potravin k celkov</w:t>
            </w:r>
            <w:r>
              <w:rPr>
                <w:rFonts w:ascii="Calibri" w:eastAsia="Calibri" w:hAnsi="Calibri" w:cs="Times New Roman"/>
                <w:sz w:val="21"/>
                <w:szCs w:val="21"/>
              </w:rPr>
              <w:t>ému počtu nakupovaných potravin ve školní jídelně (příp. bufetu)</w:t>
            </w: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 – 20 %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D16CB1" w:rsidTr="00033E17">
        <w:trPr>
          <w:trHeight w:val="256"/>
        </w:trPr>
        <w:tc>
          <w:tcPr>
            <w:tcW w:w="1526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21 – 50 %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D16CB1" w:rsidTr="00033E17">
        <w:trPr>
          <w:trHeight w:val="267"/>
        </w:trPr>
        <w:tc>
          <w:tcPr>
            <w:tcW w:w="1526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D16CB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51 % a více</w:t>
            </w:r>
          </w:p>
        </w:tc>
        <w:tc>
          <w:tcPr>
            <w:tcW w:w="880" w:type="dxa"/>
          </w:tcPr>
          <w:p w:rsidR="00A61EFB" w:rsidRPr="00D16CB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D16CB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B126CB" w:rsidRPr="00D16CB1" w:rsidTr="00F6503F">
        <w:trPr>
          <w:trHeight w:val="267"/>
        </w:trPr>
        <w:tc>
          <w:tcPr>
            <w:tcW w:w="1526" w:type="dxa"/>
            <w:vMerge w:val="restart"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>
              <w:rPr>
                <w:rFonts w:ascii="Calibri" w:eastAsia="Calibri" w:hAnsi="Calibri" w:cs="Times New Roman"/>
                <w:sz w:val="21"/>
                <w:szCs w:val="21"/>
              </w:rPr>
              <w:t>Opatření</w:t>
            </w: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 xml:space="preserve"> na snížení vlivu dopravy na ŽP</w:t>
            </w:r>
          </w:p>
        </w:tc>
        <w:tc>
          <w:tcPr>
            <w:tcW w:w="4678" w:type="dxa"/>
            <w:vMerge w:val="restart"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 xml:space="preserve">Celkový počet aktivit, jež škola realizuje za účelem snížení vlivu dopravy na životní prostředí. </w:t>
            </w:r>
          </w:p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(např. umístění stojanů na kola, omezení vjezdu osobních aut do areálu </w:t>
            </w:r>
            <w:proofErr w:type="gramStart"/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školy..)</w:t>
            </w:r>
            <w:proofErr w:type="gramEnd"/>
          </w:p>
        </w:tc>
        <w:tc>
          <w:tcPr>
            <w:tcW w:w="3260" w:type="dxa"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Ne - žádné</w:t>
            </w:r>
          </w:p>
        </w:tc>
        <w:tc>
          <w:tcPr>
            <w:tcW w:w="880" w:type="dxa"/>
            <w:vAlign w:val="center"/>
          </w:tcPr>
          <w:p w:rsidR="00B126CB" w:rsidRPr="00141B21" w:rsidRDefault="00B126CB" w:rsidP="00B126CB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B126CB" w:rsidRPr="00141B21" w:rsidTr="00764E70">
        <w:trPr>
          <w:trHeight w:val="269"/>
        </w:trPr>
        <w:tc>
          <w:tcPr>
            <w:tcW w:w="1526" w:type="dxa"/>
            <w:vMerge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 aktivita</w:t>
            </w:r>
          </w:p>
        </w:tc>
        <w:tc>
          <w:tcPr>
            <w:tcW w:w="880" w:type="dxa"/>
            <w:vAlign w:val="center"/>
          </w:tcPr>
          <w:p w:rsidR="00B126CB" w:rsidRPr="00141B21" w:rsidRDefault="00B126CB" w:rsidP="00B126CB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B126CB" w:rsidRPr="00D16CB1" w:rsidTr="00764E70">
        <w:trPr>
          <w:trHeight w:val="506"/>
        </w:trPr>
        <w:tc>
          <w:tcPr>
            <w:tcW w:w="1526" w:type="dxa"/>
            <w:vMerge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B126CB" w:rsidRPr="00141B21" w:rsidRDefault="00B126CB" w:rsidP="00B126CB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 a více aktivit</w:t>
            </w:r>
          </w:p>
        </w:tc>
        <w:tc>
          <w:tcPr>
            <w:tcW w:w="880" w:type="dxa"/>
            <w:vAlign w:val="center"/>
          </w:tcPr>
          <w:p w:rsidR="00B126CB" w:rsidRPr="00D16CB1" w:rsidRDefault="00B126CB" w:rsidP="00B126CB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A61EFB" w:rsidRDefault="00A61EFB" w:rsidP="00A61EFB">
      <w:pPr>
        <w:ind w:firstLine="0"/>
      </w:pPr>
    </w:p>
    <w:p w:rsidR="00A61EFB" w:rsidRDefault="00A61EFB" w:rsidP="00A61EFB">
      <w:pPr>
        <w:ind w:firstLine="0"/>
      </w:pPr>
      <w:r>
        <w:t>V. Indikátory provozní – vyplní zřizovatel</w:t>
      </w:r>
      <w:r w:rsidR="003339CB">
        <w:t xml:space="preserve"> (OMM, energetický manažer)</w:t>
      </w:r>
    </w:p>
    <w:tbl>
      <w:tblPr>
        <w:tblStyle w:val="Mkatabulky"/>
        <w:tblW w:w="10344" w:type="dxa"/>
        <w:tblLayout w:type="fixed"/>
        <w:tblLook w:val="04A0" w:firstRow="1" w:lastRow="0" w:firstColumn="1" w:lastColumn="0" w:noHBand="0" w:noVBand="1"/>
      </w:tblPr>
      <w:tblGrid>
        <w:gridCol w:w="1526"/>
        <w:gridCol w:w="4678"/>
        <w:gridCol w:w="3260"/>
        <w:gridCol w:w="880"/>
      </w:tblGrid>
      <w:tr w:rsidR="00A61EFB" w:rsidRPr="00141B21" w:rsidTr="00033E17">
        <w:trPr>
          <w:trHeight w:val="256"/>
        </w:trPr>
        <w:tc>
          <w:tcPr>
            <w:tcW w:w="1526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Realizace technických opatření na snížení spotřeby vody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vyměněných záchodových splachovačů za dvojfázové k celkovému počtu.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141B21" w:rsidTr="00033E17">
        <w:trPr>
          <w:trHeight w:val="256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141B21" w:rsidTr="00033E17">
        <w:trPr>
          <w:trHeight w:val="257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141B21" w:rsidTr="00033E17">
        <w:trPr>
          <w:trHeight w:val="289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vyměněných vodovodních baterií za baterie na fotobuňku nebo pákové baterie k celkovému počtu.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141B2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141B21" w:rsidTr="00033E17">
        <w:trPr>
          <w:trHeight w:val="290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141B21" w:rsidTr="00033E17">
        <w:tc>
          <w:tcPr>
            <w:tcW w:w="1526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Roční spotřeba vody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Celkové množství spotřebované vody přepočtené na jeden subjekt školy.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poměr&gt;1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141B21" w:rsidTr="00033E17"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=1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141B21" w:rsidTr="00033E17"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&lt; 1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141B21" w:rsidTr="00033E17">
        <w:trPr>
          <w:trHeight w:val="334"/>
        </w:trPr>
        <w:tc>
          <w:tcPr>
            <w:tcW w:w="1526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Realizace technických opatření na snížení spotřeby energie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vyměněných žárovek za úspornější světelné zdroje k celkovému počtu.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  <w:bookmarkStart w:id="1" w:name="_GoBack"/>
        <w:bookmarkEnd w:id="1"/>
      </w:tr>
      <w:tr w:rsidR="00A61EFB" w:rsidRPr="00141B21" w:rsidTr="00033E17">
        <w:trPr>
          <w:trHeight w:val="335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141B21" w:rsidTr="00033E17">
        <w:trPr>
          <w:trHeight w:val="334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  <w:vAlign w:val="center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141B21" w:rsidTr="00033E17">
        <w:trPr>
          <w:trHeight w:val="335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Procento místností s nainstalovanými termostatickými regulátory k celkovému počtu místností školy.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 – 30 %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141B21" w:rsidTr="00033E17">
        <w:trPr>
          <w:trHeight w:val="334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31 – 60 %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141B21" w:rsidTr="00033E17">
        <w:trPr>
          <w:trHeight w:val="335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61 – 100 %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141B21" w:rsidTr="00033E17">
        <w:tc>
          <w:tcPr>
            <w:tcW w:w="1526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Roční spotřeba elektrické energie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Celkové množství spotřebované elektrické energie v daném školním roce k roku předchozímu.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>Data dodá energetický manažer.</w:t>
            </w: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poměr&gt;1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141B21" w:rsidTr="00033E17"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=1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141B21" w:rsidTr="00033E17"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&lt; 1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  <w:tr w:rsidR="00A61EFB" w:rsidRPr="00141B21" w:rsidTr="00033E17">
        <w:tc>
          <w:tcPr>
            <w:tcW w:w="1526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Roční spotřeba tepelné energie</w:t>
            </w:r>
          </w:p>
        </w:tc>
        <w:tc>
          <w:tcPr>
            <w:tcW w:w="4678" w:type="dxa"/>
            <w:vMerge w:val="restart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Celkové množství spotřebované tepelné energie v daném školním roce k roku předchozímu.</w:t>
            </w:r>
          </w:p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i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i/>
                <w:sz w:val="21"/>
                <w:szCs w:val="21"/>
              </w:rPr>
              <w:t xml:space="preserve">Data dodá energetický manažer. </w:t>
            </w: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poměr&gt;1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0</w:t>
            </w:r>
          </w:p>
        </w:tc>
      </w:tr>
      <w:tr w:rsidR="00A61EFB" w:rsidRPr="00141B21" w:rsidTr="00033E17">
        <w:trPr>
          <w:trHeight w:val="211"/>
        </w:trPr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=1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1</w:t>
            </w:r>
          </w:p>
        </w:tc>
      </w:tr>
      <w:tr w:rsidR="00A61EFB" w:rsidRPr="00141B21" w:rsidTr="00033E17">
        <w:tc>
          <w:tcPr>
            <w:tcW w:w="1526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4678" w:type="dxa"/>
            <w:vMerge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</w:p>
        </w:tc>
        <w:tc>
          <w:tcPr>
            <w:tcW w:w="3260" w:type="dxa"/>
            <w:vAlign w:val="center"/>
          </w:tcPr>
          <w:p w:rsidR="00A61EFB" w:rsidRPr="00141B21" w:rsidRDefault="00A61EFB" w:rsidP="00033E17">
            <w:pPr>
              <w:ind w:firstLine="0"/>
              <w:jc w:val="left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poměr &lt; 1</w:t>
            </w:r>
          </w:p>
        </w:tc>
        <w:tc>
          <w:tcPr>
            <w:tcW w:w="880" w:type="dxa"/>
          </w:tcPr>
          <w:p w:rsidR="00A61EFB" w:rsidRPr="00141B21" w:rsidRDefault="00A61EFB" w:rsidP="00033E17">
            <w:pPr>
              <w:ind w:firstLine="0"/>
              <w:jc w:val="center"/>
              <w:rPr>
                <w:rFonts w:ascii="Calibri" w:eastAsia="Calibri" w:hAnsi="Calibri" w:cs="Times New Roman"/>
                <w:sz w:val="21"/>
                <w:szCs w:val="21"/>
              </w:rPr>
            </w:pPr>
            <w:r w:rsidRPr="00141B21">
              <w:rPr>
                <w:rFonts w:ascii="Calibri" w:eastAsia="Calibri" w:hAnsi="Calibri" w:cs="Times New Roman"/>
                <w:sz w:val="21"/>
                <w:szCs w:val="21"/>
              </w:rPr>
              <w:t>2</w:t>
            </w:r>
          </w:p>
        </w:tc>
      </w:tr>
    </w:tbl>
    <w:p w:rsidR="00707A9D" w:rsidRPr="009A6C31" w:rsidRDefault="00707A9D" w:rsidP="004B26E5">
      <w:pPr>
        <w:pStyle w:val="Nadpis2"/>
        <w:numPr>
          <w:ilvl w:val="0"/>
          <w:numId w:val="0"/>
        </w:numPr>
      </w:pPr>
    </w:p>
    <w:sectPr w:rsidR="00707A9D" w:rsidRPr="009A6C31" w:rsidSect="00F77C6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3D71" w:rsidRDefault="00DD3D71" w:rsidP="002604B6">
      <w:pPr>
        <w:spacing w:after="0" w:line="240" w:lineRule="auto"/>
      </w:pPr>
      <w:r>
        <w:separator/>
      </w:r>
    </w:p>
  </w:endnote>
  <w:endnote w:type="continuationSeparator" w:id="0">
    <w:p w:rsidR="00DD3D71" w:rsidRDefault="00DD3D71" w:rsidP="002604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9241F" w:rsidRDefault="00E9241F">
    <w:pPr>
      <w:pStyle w:val="Zpat"/>
      <w:jc w:val="center"/>
    </w:pPr>
  </w:p>
  <w:p w:rsidR="00E9241F" w:rsidRDefault="00E9241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3D71" w:rsidRDefault="00DD3D71" w:rsidP="002604B6">
      <w:pPr>
        <w:spacing w:after="0" w:line="240" w:lineRule="auto"/>
      </w:pPr>
      <w:r>
        <w:separator/>
      </w:r>
    </w:p>
  </w:footnote>
  <w:footnote w:type="continuationSeparator" w:id="0">
    <w:p w:rsidR="00DD3D71" w:rsidRDefault="00DD3D71" w:rsidP="002604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743819"/>
    <w:multiLevelType w:val="hybridMultilevel"/>
    <w:tmpl w:val="EBACDA60"/>
    <w:lvl w:ilvl="0" w:tplc="EDCA109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423E3B"/>
    <w:multiLevelType w:val="hybridMultilevel"/>
    <w:tmpl w:val="DFC4143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F642E9F"/>
    <w:multiLevelType w:val="hybridMultilevel"/>
    <w:tmpl w:val="FB42BF2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385197"/>
    <w:multiLevelType w:val="hybridMultilevel"/>
    <w:tmpl w:val="A6C8FA5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36BC7"/>
    <w:multiLevelType w:val="hybridMultilevel"/>
    <w:tmpl w:val="0A74625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880BA8"/>
    <w:multiLevelType w:val="hybridMultilevel"/>
    <w:tmpl w:val="C6540A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60A52"/>
    <w:multiLevelType w:val="hybridMultilevel"/>
    <w:tmpl w:val="1B726B7C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A5D04EA"/>
    <w:multiLevelType w:val="hybridMultilevel"/>
    <w:tmpl w:val="4EC8A5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94627"/>
    <w:multiLevelType w:val="hybridMultilevel"/>
    <w:tmpl w:val="C0B6BF68"/>
    <w:lvl w:ilvl="0" w:tplc="3B0CAB14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9" w15:restartNumberingAfterBreak="0">
    <w:nsid w:val="234964AF"/>
    <w:multiLevelType w:val="hybridMultilevel"/>
    <w:tmpl w:val="DE504CA6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86A1F54"/>
    <w:multiLevelType w:val="hybridMultilevel"/>
    <w:tmpl w:val="02A0EC0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960747B"/>
    <w:multiLevelType w:val="hybridMultilevel"/>
    <w:tmpl w:val="3BCC69DA"/>
    <w:lvl w:ilvl="0" w:tplc="040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2" w15:restartNumberingAfterBreak="0">
    <w:nsid w:val="2D6D620E"/>
    <w:multiLevelType w:val="hybridMultilevel"/>
    <w:tmpl w:val="1CEAC598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3" w15:restartNumberingAfterBreak="0">
    <w:nsid w:val="2E72047B"/>
    <w:multiLevelType w:val="hybridMultilevel"/>
    <w:tmpl w:val="B7F26F8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2F4647E9"/>
    <w:multiLevelType w:val="hybridMultilevel"/>
    <w:tmpl w:val="F7CE1C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320950C8"/>
    <w:multiLevelType w:val="hybridMultilevel"/>
    <w:tmpl w:val="837CCA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D3640B"/>
    <w:multiLevelType w:val="hybridMultilevel"/>
    <w:tmpl w:val="A770F06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4571DD6"/>
    <w:multiLevelType w:val="hybridMultilevel"/>
    <w:tmpl w:val="33DCE7B8"/>
    <w:lvl w:ilvl="0" w:tplc="88E8CE48">
      <w:start w:val="1"/>
      <w:numFmt w:val="decimal"/>
      <w:lvlText w:val="%1)"/>
      <w:lvlJc w:val="left"/>
      <w:pPr>
        <w:ind w:left="360" w:hanging="360"/>
      </w:pPr>
      <w:rPr>
        <w:rFonts w:asciiTheme="minorHAnsi" w:hAnsiTheme="minorHAnsi"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88B779A"/>
    <w:multiLevelType w:val="hybridMultilevel"/>
    <w:tmpl w:val="A24CADA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395109E2"/>
    <w:multiLevelType w:val="hybridMultilevel"/>
    <w:tmpl w:val="6B9CB93A"/>
    <w:lvl w:ilvl="0" w:tplc="04050011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90" w:hanging="360"/>
      </w:pPr>
    </w:lvl>
    <w:lvl w:ilvl="2" w:tplc="0405001B" w:tentative="1">
      <w:start w:val="1"/>
      <w:numFmt w:val="lowerRoman"/>
      <w:lvlText w:val="%3."/>
      <w:lvlJc w:val="right"/>
      <w:pPr>
        <w:ind w:left="2510" w:hanging="180"/>
      </w:pPr>
    </w:lvl>
    <w:lvl w:ilvl="3" w:tplc="0405000F" w:tentative="1">
      <w:start w:val="1"/>
      <w:numFmt w:val="decimal"/>
      <w:lvlText w:val="%4."/>
      <w:lvlJc w:val="left"/>
      <w:pPr>
        <w:ind w:left="3230" w:hanging="360"/>
      </w:pPr>
    </w:lvl>
    <w:lvl w:ilvl="4" w:tplc="04050019" w:tentative="1">
      <w:start w:val="1"/>
      <w:numFmt w:val="lowerLetter"/>
      <w:lvlText w:val="%5."/>
      <w:lvlJc w:val="left"/>
      <w:pPr>
        <w:ind w:left="3950" w:hanging="360"/>
      </w:pPr>
    </w:lvl>
    <w:lvl w:ilvl="5" w:tplc="0405001B" w:tentative="1">
      <w:start w:val="1"/>
      <w:numFmt w:val="lowerRoman"/>
      <w:lvlText w:val="%6."/>
      <w:lvlJc w:val="right"/>
      <w:pPr>
        <w:ind w:left="4670" w:hanging="180"/>
      </w:pPr>
    </w:lvl>
    <w:lvl w:ilvl="6" w:tplc="0405000F" w:tentative="1">
      <w:start w:val="1"/>
      <w:numFmt w:val="decimal"/>
      <w:lvlText w:val="%7."/>
      <w:lvlJc w:val="left"/>
      <w:pPr>
        <w:ind w:left="5390" w:hanging="360"/>
      </w:pPr>
    </w:lvl>
    <w:lvl w:ilvl="7" w:tplc="04050019" w:tentative="1">
      <w:start w:val="1"/>
      <w:numFmt w:val="lowerLetter"/>
      <w:lvlText w:val="%8."/>
      <w:lvlJc w:val="left"/>
      <w:pPr>
        <w:ind w:left="6110" w:hanging="360"/>
      </w:pPr>
    </w:lvl>
    <w:lvl w:ilvl="8" w:tplc="040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0" w15:restartNumberingAfterBreak="0">
    <w:nsid w:val="41C5619B"/>
    <w:multiLevelType w:val="hybridMultilevel"/>
    <w:tmpl w:val="9FC26CF2"/>
    <w:lvl w:ilvl="0" w:tplc="3D0410E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4F1BB5"/>
    <w:multiLevelType w:val="hybridMultilevel"/>
    <w:tmpl w:val="F606FD5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A1E17EB"/>
    <w:multiLevelType w:val="hybridMultilevel"/>
    <w:tmpl w:val="AC0AACF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4A5B4A1B"/>
    <w:multiLevelType w:val="hybridMultilevel"/>
    <w:tmpl w:val="8458A8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862B07"/>
    <w:multiLevelType w:val="hybridMultilevel"/>
    <w:tmpl w:val="3BCC69DA"/>
    <w:lvl w:ilvl="0" w:tplc="040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4DC957BE"/>
    <w:multiLevelType w:val="hybridMultilevel"/>
    <w:tmpl w:val="D2823C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2247842"/>
    <w:multiLevelType w:val="hybridMultilevel"/>
    <w:tmpl w:val="8C24BF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28B69C2"/>
    <w:multiLevelType w:val="hybridMultilevel"/>
    <w:tmpl w:val="EC30B5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B24C7A"/>
    <w:multiLevelType w:val="hybridMultilevel"/>
    <w:tmpl w:val="400C74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D0728F4"/>
    <w:multiLevelType w:val="hybridMultilevel"/>
    <w:tmpl w:val="99E6A04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FB43D5C"/>
    <w:multiLevelType w:val="hybridMultilevel"/>
    <w:tmpl w:val="627216D6"/>
    <w:lvl w:ilvl="0" w:tplc="7318D0E4">
      <w:start w:val="1"/>
      <w:numFmt w:val="bullet"/>
      <w:lvlText w:val="·"/>
      <w:lvlJc w:val="left"/>
      <w:pPr>
        <w:ind w:left="720" w:hanging="360"/>
      </w:pPr>
      <w:rPr>
        <w:rFonts w:ascii="Symbol" w:hAnsi="Symbol" w:hint="default"/>
        <w:sz w:val="28"/>
        <w:szCs w:val="88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646F16"/>
    <w:multiLevelType w:val="hybridMultilevel"/>
    <w:tmpl w:val="DDBCF61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 w15:restartNumberingAfterBreak="0">
    <w:nsid w:val="6C8B57FF"/>
    <w:multiLevelType w:val="hybridMultilevel"/>
    <w:tmpl w:val="67A221AC"/>
    <w:lvl w:ilvl="0" w:tplc="04050011">
      <w:start w:val="1"/>
      <w:numFmt w:val="decimal"/>
      <w:lvlText w:val="%1)"/>
      <w:lvlJc w:val="left"/>
      <w:pPr>
        <w:ind w:left="928" w:hanging="360"/>
      </w:pPr>
    </w:lvl>
    <w:lvl w:ilvl="1" w:tplc="04050019" w:tentative="1">
      <w:start w:val="1"/>
      <w:numFmt w:val="lowerLetter"/>
      <w:lvlText w:val="%2."/>
      <w:lvlJc w:val="left"/>
      <w:pPr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3" w15:restartNumberingAfterBreak="0">
    <w:nsid w:val="701761F2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34" w15:restartNumberingAfterBreak="0">
    <w:nsid w:val="72184DCF"/>
    <w:multiLevelType w:val="hybridMultilevel"/>
    <w:tmpl w:val="78E6A6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C37FD9"/>
    <w:multiLevelType w:val="hybridMultilevel"/>
    <w:tmpl w:val="D722E4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4B92F0F"/>
    <w:multiLevelType w:val="hybridMultilevel"/>
    <w:tmpl w:val="2F764C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EEA303D"/>
    <w:multiLevelType w:val="multilevel"/>
    <w:tmpl w:val="37C4DC16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33"/>
  </w:num>
  <w:num w:numId="2">
    <w:abstractNumId w:val="28"/>
  </w:num>
  <w:num w:numId="3">
    <w:abstractNumId w:val="14"/>
  </w:num>
  <w:num w:numId="4">
    <w:abstractNumId w:val="35"/>
  </w:num>
  <w:num w:numId="5">
    <w:abstractNumId w:val="9"/>
  </w:num>
  <w:num w:numId="6">
    <w:abstractNumId w:val="21"/>
  </w:num>
  <w:num w:numId="7">
    <w:abstractNumId w:val="3"/>
  </w:num>
  <w:num w:numId="8">
    <w:abstractNumId w:val="37"/>
  </w:num>
  <w:num w:numId="9">
    <w:abstractNumId w:val="23"/>
  </w:num>
  <w:num w:numId="10">
    <w:abstractNumId w:val="10"/>
  </w:num>
  <w:num w:numId="11">
    <w:abstractNumId w:val="6"/>
  </w:num>
  <w:num w:numId="12">
    <w:abstractNumId w:val="8"/>
  </w:num>
  <w:num w:numId="13">
    <w:abstractNumId w:val="1"/>
  </w:num>
  <w:num w:numId="14">
    <w:abstractNumId w:val="17"/>
  </w:num>
  <w:num w:numId="15">
    <w:abstractNumId w:val="31"/>
  </w:num>
  <w:num w:numId="16">
    <w:abstractNumId w:val="19"/>
  </w:num>
  <w:num w:numId="17">
    <w:abstractNumId w:val="24"/>
  </w:num>
  <w:num w:numId="18">
    <w:abstractNumId w:val="16"/>
  </w:num>
  <w:num w:numId="19">
    <w:abstractNumId w:val="32"/>
  </w:num>
  <w:num w:numId="20">
    <w:abstractNumId w:val="30"/>
  </w:num>
  <w:num w:numId="21">
    <w:abstractNumId w:val="18"/>
  </w:num>
  <w:num w:numId="22">
    <w:abstractNumId w:val="2"/>
  </w:num>
  <w:num w:numId="23">
    <w:abstractNumId w:val="36"/>
  </w:num>
  <w:num w:numId="24">
    <w:abstractNumId w:val="4"/>
  </w:num>
  <w:num w:numId="25">
    <w:abstractNumId w:val="5"/>
  </w:num>
  <w:num w:numId="26">
    <w:abstractNumId w:val="15"/>
  </w:num>
  <w:num w:numId="27">
    <w:abstractNumId w:val="27"/>
  </w:num>
  <w:num w:numId="28">
    <w:abstractNumId w:val="13"/>
  </w:num>
  <w:num w:numId="29">
    <w:abstractNumId w:val="22"/>
  </w:num>
  <w:num w:numId="30">
    <w:abstractNumId w:val="11"/>
  </w:num>
  <w:num w:numId="31">
    <w:abstractNumId w:val="20"/>
  </w:num>
  <w:num w:numId="32">
    <w:abstractNumId w:val="0"/>
  </w:num>
  <w:num w:numId="33">
    <w:abstractNumId w:val="12"/>
  </w:num>
  <w:num w:numId="34">
    <w:abstractNumId w:val="25"/>
  </w:num>
  <w:num w:numId="35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</w:num>
  <w:num w:numId="43">
    <w:abstractNumId w:val="34"/>
  </w:num>
  <w:num w:numId="44">
    <w:abstractNumId w:val="26"/>
  </w:num>
  <w:num w:numId="4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58F7"/>
    <w:rsid w:val="000015E4"/>
    <w:rsid w:val="00001936"/>
    <w:rsid w:val="00001F7D"/>
    <w:rsid w:val="000026B9"/>
    <w:rsid w:val="00002DCC"/>
    <w:rsid w:val="000053BE"/>
    <w:rsid w:val="000059A4"/>
    <w:rsid w:val="00007892"/>
    <w:rsid w:val="00007E74"/>
    <w:rsid w:val="00010FA1"/>
    <w:rsid w:val="000129AE"/>
    <w:rsid w:val="00013D8E"/>
    <w:rsid w:val="000159E4"/>
    <w:rsid w:val="000224E3"/>
    <w:rsid w:val="000227C2"/>
    <w:rsid w:val="0002566E"/>
    <w:rsid w:val="0002757D"/>
    <w:rsid w:val="00030062"/>
    <w:rsid w:val="000300BB"/>
    <w:rsid w:val="000313B4"/>
    <w:rsid w:val="00031E6B"/>
    <w:rsid w:val="000331B9"/>
    <w:rsid w:val="000345D8"/>
    <w:rsid w:val="00035408"/>
    <w:rsid w:val="00037A57"/>
    <w:rsid w:val="00040997"/>
    <w:rsid w:val="0004122E"/>
    <w:rsid w:val="00045938"/>
    <w:rsid w:val="00046095"/>
    <w:rsid w:val="000475EC"/>
    <w:rsid w:val="00052651"/>
    <w:rsid w:val="00052CD4"/>
    <w:rsid w:val="00054B62"/>
    <w:rsid w:val="00057265"/>
    <w:rsid w:val="00057B54"/>
    <w:rsid w:val="000607F6"/>
    <w:rsid w:val="00062C6E"/>
    <w:rsid w:val="00062E84"/>
    <w:rsid w:val="0006335D"/>
    <w:rsid w:val="0006551A"/>
    <w:rsid w:val="00065DE4"/>
    <w:rsid w:val="00066BEF"/>
    <w:rsid w:val="00067D1B"/>
    <w:rsid w:val="00067D84"/>
    <w:rsid w:val="00067F4C"/>
    <w:rsid w:val="00070443"/>
    <w:rsid w:val="00072B94"/>
    <w:rsid w:val="000744D5"/>
    <w:rsid w:val="00077BDF"/>
    <w:rsid w:val="00077E56"/>
    <w:rsid w:val="00080F00"/>
    <w:rsid w:val="00080FD3"/>
    <w:rsid w:val="0008184E"/>
    <w:rsid w:val="000829C6"/>
    <w:rsid w:val="00085D76"/>
    <w:rsid w:val="000928EC"/>
    <w:rsid w:val="000958F7"/>
    <w:rsid w:val="00097E57"/>
    <w:rsid w:val="000A0503"/>
    <w:rsid w:val="000A0830"/>
    <w:rsid w:val="000A4D4A"/>
    <w:rsid w:val="000A50E5"/>
    <w:rsid w:val="000A563D"/>
    <w:rsid w:val="000A6ECA"/>
    <w:rsid w:val="000B211A"/>
    <w:rsid w:val="000B23CA"/>
    <w:rsid w:val="000B55F8"/>
    <w:rsid w:val="000B5CED"/>
    <w:rsid w:val="000B5D1D"/>
    <w:rsid w:val="000B5DEB"/>
    <w:rsid w:val="000B6057"/>
    <w:rsid w:val="000C0DE7"/>
    <w:rsid w:val="000C1FF3"/>
    <w:rsid w:val="000C2C30"/>
    <w:rsid w:val="000C2CE1"/>
    <w:rsid w:val="000C64C6"/>
    <w:rsid w:val="000C6551"/>
    <w:rsid w:val="000C678B"/>
    <w:rsid w:val="000C6F82"/>
    <w:rsid w:val="000C7546"/>
    <w:rsid w:val="000D102F"/>
    <w:rsid w:val="000D2770"/>
    <w:rsid w:val="000D2A75"/>
    <w:rsid w:val="000D3CCF"/>
    <w:rsid w:val="000D3CFA"/>
    <w:rsid w:val="000D3D1B"/>
    <w:rsid w:val="000D50F6"/>
    <w:rsid w:val="000D561D"/>
    <w:rsid w:val="000D58E5"/>
    <w:rsid w:val="000D671C"/>
    <w:rsid w:val="000D6C40"/>
    <w:rsid w:val="000D6F3E"/>
    <w:rsid w:val="000D7F29"/>
    <w:rsid w:val="000E0024"/>
    <w:rsid w:val="000E18EA"/>
    <w:rsid w:val="000E2820"/>
    <w:rsid w:val="000E35B9"/>
    <w:rsid w:val="000E4224"/>
    <w:rsid w:val="000E65CF"/>
    <w:rsid w:val="000E69BB"/>
    <w:rsid w:val="000F03E2"/>
    <w:rsid w:val="000F0D35"/>
    <w:rsid w:val="000F0FD9"/>
    <w:rsid w:val="000F42C1"/>
    <w:rsid w:val="000F4DDC"/>
    <w:rsid w:val="000F62C0"/>
    <w:rsid w:val="000F6630"/>
    <w:rsid w:val="000F6CCB"/>
    <w:rsid w:val="000F7632"/>
    <w:rsid w:val="000F7A78"/>
    <w:rsid w:val="0010066D"/>
    <w:rsid w:val="00100863"/>
    <w:rsid w:val="001019C8"/>
    <w:rsid w:val="00102851"/>
    <w:rsid w:val="00105733"/>
    <w:rsid w:val="001130F0"/>
    <w:rsid w:val="00113171"/>
    <w:rsid w:val="00117E39"/>
    <w:rsid w:val="00122F82"/>
    <w:rsid w:val="00123673"/>
    <w:rsid w:val="00124028"/>
    <w:rsid w:val="0012594E"/>
    <w:rsid w:val="00126158"/>
    <w:rsid w:val="00127CC1"/>
    <w:rsid w:val="00130EC1"/>
    <w:rsid w:val="00131F25"/>
    <w:rsid w:val="00132BA5"/>
    <w:rsid w:val="001339EE"/>
    <w:rsid w:val="00133E46"/>
    <w:rsid w:val="00134E6B"/>
    <w:rsid w:val="00136734"/>
    <w:rsid w:val="001374B9"/>
    <w:rsid w:val="001405A2"/>
    <w:rsid w:val="00141B21"/>
    <w:rsid w:val="001422F0"/>
    <w:rsid w:val="001443E5"/>
    <w:rsid w:val="00146E44"/>
    <w:rsid w:val="00147080"/>
    <w:rsid w:val="00150A0C"/>
    <w:rsid w:val="0015154B"/>
    <w:rsid w:val="001519A3"/>
    <w:rsid w:val="00151E7D"/>
    <w:rsid w:val="00152CAA"/>
    <w:rsid w:val="00154EB1"/>
    <w:rsid w:val="0015770F"/>
    <w:rsid w:val="00160137"/>
    <w:rsid w:val="0016290A"/>
    <w:rsid w:val="001634CB"/>
    <w:rsid w:val="00165A2A"/>
    <w:rsid w:val="00165E99"/>
    <w:rsid w:val="00167C74"/>
    <w:rsid w:val="00171AF2"/>
    <w:rsid w:val="00171EA4"/>
    <w:rsid w:val="00173C6A"/>
    <w:rsid w:val="00177250"/>
    <w:rsid w:val="001800D5"/>
    <w:rsid w:val="00182C6D"/>
    <w:rsid w:val="00185B93"/>
    <w:rsid w:val="00186ECB"/>
    <w:rsid w:val="00194A28"/>
    <w:rsid w:val="00194A94"/>
    <w:rsid w:val="001955BF"/>
    <w:rsid w:val="00197E91"/>
    <w:rsid w:val="001A0F7E"/>
    <w:rsid w:val="001A2904"/>
    <w:rsid w:val="001A2B71"/>
    <w:rsid w:val="001A2F87"/>
    <w:rsid w:val="001A3057"/>
    <w:rsid w:val="001A352C"/>
    <w:rsid w:val="001A3721"/>
    <w:rsid w:val="001A4709"/>
    <w:rsid w:val="001A54FB"/>
    <w:rsid w:val="001A6E7C"/>
    <w:rsid w:val="001B130D"/>
    <w:rsid w:val="001B154E"/>
    <w:rsid w:val="001B4154"/>
    <w:rsid w:val="001B7718"/>
    <w:rsid w:val="001B77FD"/>
    <w:rsid w:val="001C532C"/>
    <w:rsid w:val="001C731F"/>
    <w:rsid w:val="001C743F"/>
    <w:rsid w:val="001D2410"/>
    <w:rsid w:val="001D2596"/>
    <w:rsid w:val="001D2917"/>
    <w:rsid w:val="001D2A48"/>
    <w:rsid w:val="001D7F0D"/>
    <w:rsid w:val="001E4B32"/>
    <w:rsid w:val="001F11B9"/>
    <w:rsid w:val="001F2212"/>
    <w:rsid w:val="001F2229"/>
    <w:rsid w:val="001F2254"/>
    <w:rsid w:val="001F2431"/>
    <w:rsid w:val="001F3408"/>
    <w:rsid w:val="001F55B4"/>
    <w:rsid w:val="001F57A2"/>
    <w:rsid w:val="00202956"/>
    <w:rsid w:val="0020351B"/>
    <w:rsid w:val="002047DD"/>
    <w:rsid w:val="00204F62"/>
    <w:rsid w:val="00205BB2"/>
    <w:rsid w:val="002070F8"/>
    <w:rsid w:val="00207E99"/>
    <w:rsid w:val="00210070"/>
    <w:rsid w:val="002100E1"/>
    <w:rsid w:val="00211A0A"/>
    <w:rsid w:val="00212B3F"/>
    <w:rsid w:val="00212D5E"/>
    <w:rsid w:val="00214DA3"/>
    <w:rsid w:val="00215E09"/>
    <w:rsid w:val="002162BA"/>
    <w:rsid w:val="00221C30"/>
    <w:rsid w:val="00223F81"/>
    <w:rsid w:val="00224629"/>
    <w:rsid w:val="002249D0"/>
    <w:rsid w:val="00226BA6"/>
    <w:rsid w:val="0022751A"/>
    <w:rsid w:val="002276CD"/>
    <w:rsid w:val="00227A13"/>
    <w:rsid w:val="002301B2"/>
    <w:rsid w:val="002310CC"/>
    <w:rsid w:val="0023122B"/>
    <w:rsid w:val="0023215D"/>
    <w:rsid w:val="0023474D"/>
    <w:rsid w:val="002373A6"/>
    <w:rsid w:val="0024133C"/>
    <w:rsid w:val="002422B4"/>
    <w:rsid w:val="002422E8"/>
    <w:rsid w:val="00244D69"/>
    <w:rsid w:val="00245E0E"/>
    <w:rsid w:val="00245E4E"/>
    <w:rsid w:val="002505BF"/>
    <w:rsid w:val="00251D3B"/>
    <w:rsid w:val="002531C8"/>
    <w:rsid w:val="00254DB1"/>
    <w:rsid w:val="00255C71"/>
    <w:rsid w:val="002576BE"/>
    <w:rsid w:val="00257767"/>
    <w:rsid w:val="0026028C"/>
    <w:rsid w:val="002604B6"/>
    <w:rsid w:val="00260EC4"/>
    <w:rsid w:val="00262A8D"/>
    <w:rsid w:val="00262E23"/>
    <w:rsid w:val="002630E8"/>
    <w:rsid w:val="00264153"/>
    <w:rsid w:val="002671D8"/>
    <w:rsid w:val="0027055E"/>
    <w:rsid w:val="0027307E"/>
    <w:rsid w:val="00275825"/>
    <w:rsid w:val="0027746B"/>
    <w:rsid w:val="00277494"/>
    <w:rsid w:val="002800A2"/>
    <w:rsid w:val="00281226"/>
    <w:rsid w:val="00292338"/>
    <w:rsid w:val="002923B2"/>
    <w:rsid w:val="00294C58"/>
    <w:rsid w:val="00294FFC"/>
    <w:rsid w:val="00297A9D"/>
    <w:rsid w:val="002A120B"/>
    <w:rsid w:val="002A319F"/>
    <w:rsid w:val="002A31F9"/>
    <w:rsid w:val="002A4684"/>
    <w:rsid w:val="002A51BC"/>
    <w:rsid w:val="002A5D0B"/>
    <w:rsid w:val="002A6289"/>
    <w:rsid w:val="002A652C"/>
    <w:rsid w:val="002A6B46"/>
    <w:rsid w:val="002A6FEE"/>
    <w:rsid w:val="002A75DB"/>
    <w:rsid w:val="002B2622"/>
    <w:rsid w:val="002B7EBC"/>
    <w:rsid w:val="002C43EF"/>
    <w:rsid w:val="002C587A"/>
    <w:rsid w:val="002C61E6"/>
    <w:rsid w:val="002D1265"/>
    <w:rsid w:val="002D1E54"/>
    <w:rsid w:val="002D2572"/>
    <w:rsid w:val="002D4F82"/>
    <w:rsid w:val="002D67DE"/>
    <w:rsid w:val="002D6EF7"/>
    <w:rsid w:val="002E0082"/>
    <w:rsid w:val="002E0339"/>
    <w:rsid w:val="002E1395"/>
    <w:rsid w:val="002E1B75"/>
    <w:rsid w:val="002E27A3"/>
    <w:rsid w:val="002E29C1"/>
    <w:rsid w:val="002E34F0"/>
    <w:rsid w:val="002E3EE6"/>
    <w:rsid w:val="002E48D5"/>
    <w:rsid w:val="002E4C42"/>
    <w:rsid w:val="002E5379"/>
    <w:rsid w:val="002E749D"/>
    <w:rsid w:val="002F0968"/>
    <w:rsid w:val="002F339E"/>
    <w:rsid w:val="002F3CDB"/>
    <w:rsid w:val="002F6839"/>
    <w:rsid w:val="002F7040"/>
    <w:rsid w:val="00300209"/>
    <w:rsid w:val="00300530"/>
    <w:rsid w:val="00300598"/>
    <w:rsid w:val="003018B2"/>
    <w:rsid w:val="00301EB9"/>
    <w:rsid w:val="0030493A"/>
    <w:rsid w:val="00306905"/>
    <w:rsid w:val="00312019"/>
    <w:rsid w:val="003135E8"/>
    <w:rsid w:val="00314AEB"/>
    <w:rsid w:val="00315FE9"/>
    <w:rsid w:val="00320DAD"/>
    <w:rsid w:val="00321899"/>
    <w:rsid w:val="00321960"/>
    <w:rsid w:val="0032226F"/>
    <w:rsid w:val="00322A22"/>
    <w:rsid w:val="003259C5"/>
    <w:rsid w:val="00326A0E"/>
    <w:rsid w:val="003276F6"/>
    <w:rsid w:val="00332A24"/>
    <w:rsid w:val="003339CB"/>
    <w:rsid w:val="00335020"/>
    <w:rsid w:val="003351C3"/>
    <w:rsid w:val="00335799"/>
    <w:rsid w:val="003357E9"/>
    <w:rsid w:val="00337B14"/>
    <w:rsid w:val="00340975"/>
    <w:rsid w:val="0034111E"/>
    <w:rsid w:val="00342C3E"/>
    <w:rsid w:val="00344403"/>
    <w:rsid w:val="00345C8D"/>
    <w:rsid w:val="0035095B"/>
    <w:rsid w:val="00350F6D"/>
    <w:rsid w:val="003547C8"/>
    <w:rsid w:val="00354E18"/>
    <w:rsid w:val="00356C65"/>
    <w:rsid w:val="00356F0F"/>
    <w:rsid w:val="0035706F"/>
    <w:rsid w:val="0036165C"/>
    <w:rsid w:val="0036175C"/>
    <w:rsid w:val="00363FBA"/>
    <w:rsid w:val="00364BA7"/>
    <w:rsid w:val="00366A2C"/>
    <w:rsid w:val="00367129"/>
    <w:rsid w:val="00375B31"/>
    <w:rsid w:val="003775E3"/>
    <w:rsid w:val="00377A6A"/>
    <w:rsid w:val="0038070F"/>
    <w:rsid w:val="00382E3D"/>
    <w:rsid w:val="00384295"/>
    <w:rsid w:val="003851AF"/>
    <w:rsid w:val="0038768B"/>
    <w:rsid w:val="00391924"/>
    <w:rsid w:val="003927F6"/>
    <w:rsid w:val="003937F3"/>
    <w:rsid w:val="00393DC0"/>
    <w:rsid w:val="003940F5"/>
    <w:rsid w:val="0039525C"/>
    <w:rsid w:val="00395627"/>
    <w:rsid w:val="00395959"/>
    <w:rsid w:val="003967E9"/>
    <w:rsid w:val="003976DA"/>
    <w:rsid w:val="003A01C7"/>
    <w:rsid w:val="003A1787"/>
    <w:rsid w:val="003A338B"/>
    <w:rsid w:val="003A3EE4"/>
    <w:rsid w:val="003A525E"/>
    <w:rsid w:val="003A630A"/>
    <w:rsid w:val="003A684B"/>
    <w:rsid w:val="003A76C1"/>
    <w:rsid w:val="003A7F89"/>
    <w:rsid w:val="003B031D"/>
    <w:rsid w:val="003B0D11"/>
    <w:rsid w:val="003B15BC"/>
    <w:rsid w:val="003B29F3"/>
    <w:rsid w:val="003B2A9C"/>
    <w:rsid w:val="003B2DCD"/>
    <w:rsid w:val="003B4A7C"/>
    <w:rsid w:val="003B51F9"/>
    <w:rsid w:val="003B53BD"/>
    <w:rsid w:val="003B61BD"/>
    <w:rsid w:val="003B6C20"/>
    <w:rsid w:val="003C0819"/>
    <w:rsid w:val="003C21E8"/>
    <w:rsid w:val="003C337A"/>
    <w:rsid w:val="003C4415"/>
    <w:rsid w:val="003C53F3"/>
    <w:rsid w:val="003D0018"/>
    <w:rsid w:val="003D052F"/>
    <w:rsid w:val="003D0DAE"/>
    <w:rsid w:val="003D2291"/>
    <w:rsid w:val="003D29A0"/>
    <w:rsid w:val="003D493C"/>
    <w:rsid w:val="003E0315"/>
    <w:rsid w:val="003E1F6B"/>
    <w:rsid w:val="003E29A7"/>
    <w:rsid w:val="003E3AD9"/>
    <w:rsid w:val="003E3CBE"/>
    <w:rsid w:val="003E3E19"/>
    <w:rsid w:val="003E4843"/>
    <w:rsid w:val="003E54AA"/>
    <w:rsid w:val="003E5DFC"/>
    <w:rsid w:val="003E6410"/>
    <w:rsid w:val="003E7516"/>
    <w:rsid w:val="003E7A98"/>
    <w:rsid w:val="003F0112"/>
    <w:rsid w:val="003F17AA"/>
    <w:rsid w:val="00400C7C"/>
    <w:rsid w:val="00402DA3"/>
    <w:rsid w:val="004054DD"/>
    <w:rsid w:val="00405B4F"/>
    <w:rsid w:val="00406E6F"/>
    <w:rsid w:val="00407333"/>
    <w:rsid w:val="00407E97"/>
    <w:rsid w:val="00410F09"/>
    <w:rsid w:val="004163DB"/>
    <w:rsid w:val="004204D7"/>
    <w:rsid w:val="004226A9"/>
    <w:rsid w:val="00423CFE"/>
    <w:rsid w:val="00425340"/>
    <w:rsid w:val="00425354"/>
    <w:rsid w:val="004277DE"/>
    <w:rsid w:val="00430728"/>
    <w:rsid w:val="00430F8A"/>
    <w:rsid w:val="0043127E"/>
    <w:rsid w:val="004317B5"/>
    <w:rsid w:val="00432FCE"/>
    <w:rsid w:val="004369B8"/>
    <w:rsid w:val="004377F4"/>
    <w:rsid w:val="004412EF"/>
    <w:rsid w:val="00443774"/>
    <w:rsid w:val="00452E7C"/>
    <w:rsid w:val="004602B5"/>
    <w:rsid w:val="0046063D"/>
    <w:rsid w:val="0046296C"/>
    <w:rsid w:val="00465B97"/>
    <w:rsid w:val="00473BD2"/>
    <w:rsid w:val="00474DDC"/>
    <w:rsid w:val="00476751"/>
    <w:rsid w:val="00480317"/>
    <w:rsid w:val="004818E8"/>
    <w:rsid w:val="00484871"/>
    <w:rsid w:val="0048519E"/>
    <w:rsid w:val="00486690"/>
    <w:rsid w:val="00487686"/>
    <w:rsid w:val="0048797F"/>
    <w:rsid w:val="00493ABE"/>
    <w:rsid w:val="00494FA5"/>
    <w:rsid w:val="004950B3"/>
    <w:rsid w:val="00495907"/>
    <w:rsid w:val="004A0797"/>
    <w:rsid w:val="004A1654"/>
    <w:rsid w:val="004A381C"/>
    <w:rsid w:val="004A5CF2"/>
    <w:rsid w:val="004B26E5"/>
    <w:rsid w:val="004B2FF0"/>
    <w:rsid w:val="004B32EC"/>
    <w:rsid w:val="004B43AE"/>
    <w:rsid w:val="004B49EB"/>
    <w:rsid w:val="004B72C5"/>
    <w:rsid w:val="004C1318"/>
    <w:rsid w:val="004C164B"/>
    <w:rsid w:val="004C48EB"/>
    <w:rsid w:val="004D0E04"/>
    <w:rsid w:val="004D4B3C"/>
    <w:rsid w:val="004D56FD"/>
    <w:rsid w:val="004D58CC"/>
    <w:rsid w:val="004D74C8"/>
    <w:rsid w:val="004D7A31"/>
    <w:rsid w:val="004E012D"/>
    <w:rsid w:val="004E0574"/>
    <w:rsid w:val="004E25F5"/>
    <w:rsid w:val="004E2B59"/>
    <w:rsid w:val="004E35A1"/>
    <w:rsid w:val="004E398B"/>
    <w:rsid w:val="004E3EA0"/>
    <w:rsid w:val="004E4B47"/>
    <w:rsid w:val="004E7E8A"/>
    <w:rsid w:val="004F0575"/>
    <w:rsid w:val="004F3068"/>
    <w:rsid w:val="004F38F2"/>
    <w:rsid w:val="004F39AA"/>
    <w:rsid w:val="004F3A5B"/>
    <w:rsid w:val="004F5F22"/>
    <w:rsid w:val="004F64EC"/>
    <w:rsid w:val="004F7193"/>
    <w:rsid w:val="00503E6B"/>
    <w:rsid w:val="00507DE2"/>
    <w:rsid w:val="00512165"/>
    <w:rsid w:val="0051219C"/>
    <w:rsid w:val="00513657"/>
    <w:rsid w:val="00515C01"/>
    <w:rsid w:val="00515F44"/>
    <w:rsid w:val="00516D02"/>
    <w:rsid w:val="00520141"/>
    <w:rsid w:val="00520779"/>
    <w:rsid w:val="0052077A"/>
    <w:rsid w:val="00521539"/>
    <w:rsid w:val="005220EC"/>
    <w:rsid w:val="00522DB6"/>
    <w:rsid w:val="00522FB8"/>
    <w:rsid w:val="00525952"/>
    <w:rsid w:val="00527AF9"/>
    <w:rsid w:val="00530D6D"/>
    <w:rsid w:val="005312A8"/>
    <w:rsid w:val="005325BF"/>
    <w:rsid w:val="005336B9"/>
    <w:rsid w:val="00536659"/>
    <w:rsid w:val="005425D8"/>
    <w:rsid w:val="00546EBC"/>
    <w:rsid w:val="00550006"/>
    <w:rsid w:val="00554034"/>
    <w:rsid w:val="005544AC"/>
    <w:rsid w:val="00555638"/>
    <w:rsid w:val="005560ED"/>
    <w:rsid w:val="00556708"/>
    <w:rsid w:val="00556847"/>
    <w:rsid w:val="0055748B"/>
    <w:rsid w:val="005579AB"/>
    <w:rsid w:val="00562720"/>
    <w:rsid w:val="00562B3D"/>
    <w:rsid w:val="00563987"/>
    <w:rsid w:val="00565E99"/>
    <w:rsid w:val="005662F9"/>
    <w:rsid w:val="005701B6"/>
    <w:rsid w:val="00570A1B"/>
    <w:rsid w:val="0057186D"/>
    <w:rsid w:val="0057195A"/>
    <w:rsid w:val="00571FF0"/>
    <w:rsid w:val="00573477"/>
    <w:rsid w:val="00574505"/>
    <w:rsid w:val="00574FBC"/>
    <w:rsid w:val="00580F66"/>
    <w:rsid w:val="00583EDD"/>
    <w:rsid w:val="00585C72"/>
    <w:rsid w:val="0059369D"/>
    <w:rsid w:val="005955D1"/>
    <w:rsid w:val="00595D16"/>
    <w:rsid w:val="00597E4F"/>
    <w:rsid w:val="005A08A2"/>
    <w:rsid w:val="005A1552"/>
    <w:rsid w:val="005A2DF7"/>
    <w:rsid w:val="005A4F1A"/>
    <w:rsid w:val="005A4F68"/>
    <w:rsid w:val="005A5129"/>
    <w:rsid w:val="005B001A"/>
    <w:rsid w:val="005B5E8E"/>
    <w:rsid w:val="005B709A"/>
    <w:rsid w:val="005B73F2"/>
    <w:rsid w:val="005C17FA"/>
    <w:rsid w:val="005C2A70"/>
    <w:rsid w:val="005C3BB3"/>
    <w:rsid w:val="005C58A7"/>
    <w:rsid w:val="005C5DA0"/>
    <w:rsid w:val="005C6C7E"/>
    <w:rsid w:val="005D1007"/>
    <w:rsid w:val="005D138E"/>
    <w:rsid w:val="005D6E2A"/>
    <w:rsid w:val="005D797E"/>
    <w:rsid w:val="005E0879"/>
    <w:rsid w:val="005E204A"/>
    <w:rsid w:val="005E2E81"/>
    <w:rsid w:val="005E362A"/>
    <w:rsid w:val="005E49BD"/>
    <w:rsid w:val="005E5A30"/>
    <w:rsid w:val="005E7766"/>
    <w:rsid w:val="005F036A"/>
    <w:rsid w:val="005F09E2"/>
    <w:rsid w:val="005F2F65"/>
    <w:rsid w:val="005F619B"/>
    <w:rsid w:val="005F621C"/>
    <w:rsid w:val="005F6894"/>
    <w:rsid w:val="005F72F1"/>
    <w:rsid w:val="00602068"/>
    <w:rsid w:val="0060229E"/>
    <w:rsid w:val="00604BC5"/>
    <w:rsid w:val="0060688F"/>
    <w:rsid w:val="00606E99"/>
    <w:rsid w:val="006077B4"/>
    <w:rsid w:val="00610823"/>
    <w:rsid w:val="00610CA2"/>
    <w:rsid w:val="00611E57"/>
    <w:rsid w:val="00613EC8"/>
    <w:rsid w:val="0061739D"/>
    <w:rsid w:val="006178F7"/>
    <w:rsid w:val="006207B3"/>
    <w:rsid w:val="00621A08"/>
    <w:rsid w:val="00622735"/>
    <w:rsid w:val="00626C56"/>
    <w:rsid w:val="006275CE"/>
    <w:rsid w:val="00627F53"/>
    <w:rsid w:val="0063470D"/>
    <w:rsid w:val="00634B07"/>
    <w:rsid w:val="00640161"/>
    <w:rsid w:val="006437E1"/>
    <w:rsid w:val="00643953"/>
    <w:rsid w:val="0064449F"/>
    <w:rsid w:val="00646820"/>
    <w:rsid w:val="00646A1C"/>
    <w:rsid w:val="00652E56"/>
    <w:rsid w:val="006540C3"/>
    <w:rsid w:val="00655F84"/>
    <w:rsid w:val="00656B31"/>
    <w:rsid w:val="00656C59"/>
    <w:rsid w:val="006576F9"/>
    <w:rsid w:val="00660788"/>
    <w:rsid w:val="00660968"/>
    <w:rsid w:val="006610B2"/>
    <w:rsid w:val="00661B4C"/>
    <w:rsid w:val="0066310B"/>
    <w:rsid w:val="00664B20"/>
    <w:rsid w:val="00667867"/>
    <w:rsid w:val="006723E1"/>
    <w:rsid w:val="00675E81"/>
    <w:rsid w:val="006809F9"/>
    <w:rsid w:val="00680A06"/>
    <w:rsid w:val="0068528D"/>
    <w:rsid w:val="00690714"/>
    <w:rsid w:val="00691C9F"/>
    <w:rsid w:val="0069365D"/>
    <w:rsid w:val="00697164"/>
    <w:rsid w:val="006971B1"/>
    <w:rsid w:val="00697725"/>
    <w:rsid w:val="006A08CC"/>
    <w:rsid w:val="006A1123"/>
    <w:rsid w:val="006A19B1"/>
    <w:rsid w:val="006A2A71"/>
    <w:rsid w:val="006A334E"/>
    <w:rsid w:val="006A5566"/>
    <w:rsid w:val="006A5B58"/>
    <w:rsid w:val="006A6918"/>
    <w:rsid w:val="006A7174"/>
    <w:rsid w:val="006B040D"/>
    <w:rsid w:val="006B11E5"/>
    <w:rsid w:val="006B1447"/>
    <w:rsid w:val="006B2B95"/>
    <w:rsid w:val="006B6D70"/>
    <w:rsid w:val="006C3D3D"/>
    <w:rsid w:val="006C554C"/>
    <w:rsid w:val="006D1DD4"/>
    <w:rsid w:val="006D2EF7"/>
    <w:rsid w:val="006D665F"/>
    <w:rsid w:val="006E4D63"/>
    <w:rsid w:val="006E51FC"/>
    <w:rsid w:val="006E7599"/>
    <w:rsid w:val="006F35AF"/>
    <w:rsid w:val="006F7DC4"/>
    <w:rsid w:val="006F7E2A"/>
    <w:rsid w:val="007005C3"/>
    <w:rsid w:val="0070551D"/>
    <w:rsid w:val="00706F08"/>
    <w:rsid w:val="00707A9D"/>
    <w:rsid w:val="00713924"/>
    <w:rsid w:val="007154AC"/>
    <w:rsid w:val="0072035E"/>
    <w:rsid w:val="00720D04"/>
    <w:rsid w:val="0072235C"/>
    <w:rsid w:val="0072287E"/>
    <w:rsid w:val="00724673"/>
    <w:rsid w:val="00730240"/>
    <w:rsid w:val="007343D3"/>
    <w:rsid w:val="00736B87"/>
    <w:rsid w:val="00737AA8"/>
    <w:rsid w:val="00737DC1"/>
    <w:rsid w:val="007429CB"/>
    <w:rsid w:val="00742AFC"/>
    <w:rsid w:val="007441E2"/>
    <w:rsid w:val="0074464E"/>
    <w:rsid w:val="00745ACA"/>
    <w:rsid w:val="00745DAE"/>
    <w:rsid w:val="00750719"/>
    <w:rsid w:val="00751355"/>
    <w:rsid w:val="007530A4"/>
    <w:rsid w:val="00753C1E"/>
    <w:rsid w:val="00756909"/>
    <w:rsid w:val="0075696A"/>
    <w:rsid w:val="00756BD8"/>
    <w:rsid w:val="00761E8F"/>
    <w:rsid w:val="00763907"/>
    <w:rsid w:val="00764362"/>
    <w:rsid w:val="00765970"/>
    <w:rsid w:val="00771CD0"/>
    <w:rsid w:val="0077224A"/>
    <w:rsid w:val="00781F41"/>
    <w:rsid w:val="007859BB"/>
    <w:rsid w:val="0078705D"/>
    <w:rsid w:val="007875DD"/>
    <w:rsid w:val="0078761A"/>
    <w:rsid w:val="00787D67"/>
    <w:rsid w:val="00792419"/>
    <w:rsid w:val="00792AB9"/>
    <w:rsid w:val="007944A7"/>
    <w:rsid w:val="00794BE5"/>
    <w:rsid w:val="00796353"/>
    <w:rsid w:val="007A30BF"/>
    <w:rsid w:val="007A33CB"/>
    <w:rsid w:val="007A39C2"/>
    <w:rsid w:val="007A6480"/>
    <w:rsid w:val="007B14C0"/>
    <w:rsid w:val="007B1D92"/>
    <w:rsid w:val="007B25AC"/>
    <w:rsid w:val="007B3192"/>
    <w:rsid w:val="007B52C0"/>
    <w:rsid w:val="007B5B1C"/>
    <w:rsid w:val="007C0F93"/>
    <w:rsid w:val="007C18A6"/>
    <w:rsid w:val="007C245F"/>
    <w:rsid w:val="007C76E7"/>
    <w:rsid w:val="007D0025"/>
    <w:rsid w:val="007D26B4"/>
    <w:rsid w:val="007D46D7"/>
    <w:rsid w:val="007D4C5D"/>
    <w:rsid w:val="007D5F49"/>
    <w:rsid w:val="007E3381"/>
    <w:rsid w:val="007E37F3"/>
    <w:rsid w:val="007E5092"/>
    <w:rsid w:val="007E6F5E"/>
    <w:rsid w:val="007F1DFB"/>
    <w:rsid w:val="007F2846"/>
    <w:rsid w:val="007F2C24"/>
    <w:rsid w:val="007F3AFB"/>
    <w:rsid w:val="007F7AE2"/>
    <w:rsid w:val="00801251"/>
    <w:rsid w:val="00804770"/>
    <w:rsid w:val="00807FC2"/>
    <w:rsid w:val="008206D1"/>
    <w:rsid w:val="00820EC0"/>
    <w:rsid w:val="008216D0"/>
    <w:rsid w:val="00821BFA"/>
    <w:rsid w:val="00823D3C"/>
    <w:rsid w:val="008243D7"/>
    <w:rsid w:val="008248B6"/>
    <w:rsid w:val="00825047"/>
    <w:rsid w:val="0082736C"/>
    <w:rsid w:val="00831FEF"/>
    <w:rsid w:val="008367DE"/>
    <w:rsid w:val="00837462"/>
    <w:rsid w:val="00837713"/>
    <w:rsid w:val="00840EBA"/>
    <w:rsid w:val="00841825"/>
    <w:rsid w:val="008429DB"/>
    <w:rsid w:val="00842B2F"/>
    <w:rsid w:val="0084552C"/>
    <w:rsid w:val="00845F5C"/>
    <w:rsid w:val="00850194"/>
    <w:rsid w:val="0085382E"/>
    <w:rsid w:val="00853BF1"/>
    <w:rsid w:val="00854645"/>
    <w:rsid w:val="00855052"/>
    <w:rsid w:val="00855A8A"/>
    <w:rsid w:val="00855C2F"/>
    <w:rsid w:val="00857CD4"/>
    <w:rsid w:val="00860420"/>
    <w:rsid w:val="008617A2"/>
    <w:rsid w:val="00861931"/>
    <w:rsid w:val="00870D18"/>
    <w:rsid w:val="00873F3F"/>
    <w:rsid w:val="0087579A"/>
    <w:rsid w:val="00876DEF"/>
    <w:rsid w:val="008812F6"/>
    <w:rsid w:val="00882906"/>
    <w:rsid w:val="008835FD"/>
    <w:rsid w:val="0088469D"/>
    <w:rsid w:val="0088522C"/>
    <w:rsid w:val="00886BF9"/>
    <w:rsid w:val="00886E10"/>
    <w:rsid w:val="008918B9"/>
    <w:rsid w:val="00891F95"/>
    <w:rsid w:val="00897B74"/>
    <w:rsid w:val="008A3E5B"/>
    <w:rsid w:val="008A7C0E"/>
    <w:rsid w:val="008B000C"/>
    <w:rsid w:val="008B0E52"/>
    <w:rsid w:val="008B32B2"/>
    <w:rsid w:val="008B5A6E"/>
    <w:rsid w:val="008B7743"/>
    <w:rsid w:val="008C119C"/>
    <w:rsid w:val="008C60C1"/>
    <w:rsid w:val="008D0E33"/>
    <w:rsid w:val="008D2C06"/>
    <w:rsid w:val="008D2DF3"/>
    <w:rsid w:val="008D32CC"/>
    <w:rsid w:val="008D3D0A"/>
    <w:rsid w:val="008D4E22"/>
    <w:rsid w:val="008D5663"/>
    <w:rsid w:val="008D7212"/>
    <w:rsid w:val="008D7A73"/>
    <w:rsid w:val="008E4C7B"/>
    <w:rsid w:val="008F272B"/>
    <w:rsid w:val="008F3ABC"/>
    <w:rsid w:val="008F3C2D"/>
    <w:rsid w:val="008F4C6E"/>
    <w:rsid w:val="008F6C65"/>
    <w:rsid w:val="00901898"/>
    <w:rsid w:val="00906112"/>
    <w:rsid w:val="00910355"/>
    <w:rsid w:val="009112DD"/>
    <w:rsid w:val="0091424E"/>
    <w:rsid w:val="00915716"/>
    <w:rsid w:val="00916808"/>
    <w:rsid w:val="009173AA"/>
    <w:rsid w:val="009179FD"/>
    <w:rsid w:val="00924055"/>
    <w:rsid w:val="009248F8"/>
    <w:rsid w:val="00925787"/>
    <w:rsid w:val="00932E42"/>
    <w:rsid w:val="00933AE7"/>
    <w:rsid w:val="00936112"/>
    <w:rsid w:val="00940616"/>
    <w:rsid w:val="00942FB3"/>
    <w:rsid w:val="0095294F"/>
    <w:rsid w:val="00954F10"/>
    <w:rsid w:val="00955335"/>
    <w:rsid w:val="0096058B"/>
    <w:rsid w:val="00960774"/>
    <w:rsid w:val="0096239D"/>
    <w:rsid w:val="009643F2"/>
    <w:rsid w:val="00967D62"/>
    <w:rsid w:val="0097054A"/>
    <w:rsid w:val="00971B70"/>
    <w:rsid w:val="00972BD9"/>
    <w:rsid w:val="0097374A"/>
    <w:rsid w:val="0097491D"/>
    <w:rsid w:val="009773C3"/>
    <w:rsid w:val="00981C88"/>
    <w:rsid w:val="00982579"/>
    <w:rsid w:val="00982C11"/>
    <w:rsid w:val="009833D3"/>
    <w:rsid w:val="00983AA4"/>
    <w:rsid w:val="00985E39"/>
    <w:rsid w:val="009864B0"/>
    <w:rsid w:val="009876DE"/>
    <w:rsid w:val="00987A0C"/>
    <w:rsid w:val="00990624"/>
    <w:rsid w:val="00992166"/>
    <w:rsid w:val="00996257"/>
    <w:rsid w:val="009A00E6"/>
    <w:rsid w:val="009A1A74"/>
    <w:rsid w:val="009A318E"/>
    <w:rsid w:val="009A363A"/>
    <w:rsid w:val="009A5ADB"/>
    <w:rsid w:val="009A5FF8"/>
    <w:rsid w:val="009A6BF3"/>
    <w:rsid w:val="009A6C31"/>
    <w:rsid w:val="009B03CD"/>
    <w:rsid w:val="009B2783"/>
    <w:rsid w:val="009B32B3"/>
    <w:rsid w:val="009B3EEA"/>
    <w:rsid w:val="009B4C7B"/>
    <w:rsid w:val="009B5675"/>
    <w:rsid w:val="009B5873"/>
    <w:rsid w:val="009B5D58"/>
    <w:rsid w:val="009B7EFD"/>
    <w:rsid w:val="009B7F9B"/>
    <w:rsid w:val="009C00B6"/>
    <w:rsid w:val="009C4903"/>
    <w:rsid w:val="009C4DCE"/>
    <w:rsid w:val="009C70AF"/>
    <w:rsid w:val="009D00A7"/>
    <w:rsid w:val="009D07A7"/>
    <w:rsid w:val="009D0B99"/>
    <w:rsid w:val="009D23D4"/>
    <w:rsid w:val="009D3DA9"/>
    <w:rsid w:val="009D6418"/>
    <w:rsid w:val="009D74FC"/>
    <w:rsid w:val="009E0454"/>
    <w:rsid w:val="009E1F75"/>
    <w:rsid w:val="009E3B27"/>
    <w:rsid w:val="009E623C"/>
    <w:rsid w:val="009E6CCF"/>
    <w:rsid w:val="009F50C8"/>
    <w:rsid w:val="009F60E4"/>
    <w:rsid w:val="00A0054D"/>
    <w:rsid w:val="00A03B7E"/>
    <w:rsid w:val="00A06514"/>
    <w:rsid w:val="00A067E4"/>
    <w:rsid w:val="00A06BC6"/>
    <w:rsid w:val="00A122EB"/>
    <w:rsid w:val="00A2469E"/>
    <w:rsid w:val="00A257A8"/>
    <w:rsid w:val="00A279D9"/>
    <w:rsid w:val="00A30EB6"/>
    <w:rsid w:val="00A31649"/>
    <w:rsid w:val="00A32C37"/>
    <w:rsid w:val="00A32E54"/>
    <w:rsid w:val="00A36F3B"/>
    <w:rsid w:val="00A406F4"/>
    <w:rsid w:val="00A40F92"/>
    <w:rsid w:val="00A422EF"/>
    <w:rsid w:val="00A42EDF"/>
    <w:rsid w:val="00A45EB5"/>
    <w:rsid w:val="00A4775F"/>
    <w:rsid w:val="00A47883"/>
    <w:rsid w:val="00A519A6"/>
    <w:rsid w:val="00A531D8"/>
    <w:rsid w:val="00A53403"/>
    <w:rsid w:val="00A570DE"/>
    <w:rsid w:val="00A61EFB"/>
    <w:rsid w:val="00A63738"/>
    <w:rsid w:val="00A646D4"/>
    <w:rsid w:val="00A65BDA"/>
    <w:rsid w:val="00A676DA"/>
    <w:rsid w:val="00A75DCF"/>
    <w:rsid w:val="00A80C2F"/>
    <w:rsid w:val="00A84D28"/>
    <w:rsid w:val="00A8546C"/>
    <w:rsid w:val="00A8550B"/>
    <w:rsid w:val="00A855B9"/>
    <w:rsid w:val="00A85E14"/>
    <w:rsid w:val="00A8613D"/>
    <w:rsid w:val="00A876A8"/>
    <w:rsid w:val="00A928E5"/>
    <w:rsid w:val="00AA04DC"/>
    <w:rsid w:val="00AA1BF7"/>
    <w:rsid w:val="00AA24FE"/>
    <w:rsid w:val="00AA5CC1"/>
    <w:rsid w:val="00AA6AE7"/>
    <w:rsid w:val="00AA789F"/>
    <w:rsid w:val="00AB1009"/>
    <w:rsid w:val="00AB3E31"/>
    <w:rsid w:val="00AB3E4B"/>
    <w:rsid w:val="00AB6BFE"/>
    <w:rsid w:val="00AC041C"/>
    <w:rsid w:val="00AC1EC1"/>
    <w:rsid w:val="00AC22F6"/>
    <w:rsid w:val="00AC3B28"/>
    <w:rsid w:val="00AC59DD"/>
    <w:rsid w:val="00AC6A9D"/>
    <w:rsid w:val="00AD0BB7"/>
    <w:rsid w:val="00AD1226"/>
    <w:rsid w:val="00AD6F77"/>
    <w:rsid w:val="00AE0634"/>
    <w:rsid w:val="00AE0A4F"/>
    <w:rsid w:val="00AE0CE0"/>
    <w:rsid w:val="00AE2D10"/>
    <w:rsid w:val="00AE6177"/>
    <w:rsid w:val="00AE727E"/>
    <w:rsid w:val="00AF111B"/>
    <w:rsid w:val="00AF1591"/>
    <w:rsid w:val="00AF17A9"/>
    <w:rsid w:val="00AF1AE1"/>
    <w:rsid w:val="00AF2167"/>
    <w:rsid w:val="00AF5755"/>
    <w:rsid w:val="00AF6F15"/>
    <w:rsid w:val="00AF7010"/>
    <w:rsid w:val="00B01494"/>
    <w:rsid w:val="00B0178F"/>
    <w:rsid w:val="00B038B5"/>
    <w:rsid w:val="00B05917"/>
    <w:rsid w:val="00B06379"/>
    <w:rsid w:val="00B06C8A"/>
    <w:rsid w:val="00B070CD"/>
    <w:rsid w:val="00B07439"/>
    <w:rsid w:val="00B07B68"/>
    <w:rsid w:val="00B10632"/>
    <w:rsid w:val="00B126CB"/>
    <w:rsid w:val="00B129B7"/>
    <w:rsid w:val="00B135D8"/>
    <w:rsid w:val="00B13627"/>
    <w:rsid w:val="00B13F28"/>
    <w:rsid w:val="00B169F6"/>
    <w:rsid w:val="00B17455"/>
    <w:rsid w:val="00B17C99"/>
    <w:rsid w:val="00B210B2"/>
    <w:rsid w:val="00B2350F"/>
    <w:rsid w:val="00B23BE2"/>
    <w:rsid w:val="00B25F08"/>
    <w:rsid w:val="00B26602"/>
    <w:rsid w:val="00B271EB"/>
    <w:rsid w:val="00B27A4B"/>
    <w:rsid w:val="00B364D8"/>
    <w:rsid w:val="00B4060F"/>
    <w:rsid w:val="00B43B60"/>
    <w:rsid w:val="00B43C0F"/>
    <w:rsid w:val="00B43E3B"/>
    <w:rsid w:val="00B501EF"/>
    <w:rsid w:val="00B50D73"/>
    <w:rsid w:val="00B5355F"/>
    <w:rsid w:val="00B541F3"/>
    <w:rsid w:val="00B54EF7"/>
    <w:rsid w:val="00B60B23"/>
    <w:rsid w:val="00B60F58"/>
    <w:rsid w:val="00B61F39"/>
    <w:rsid w:val="00B669C9"/>
    <w:rsid w:val="00B708FD"/>
    <w:rsid w:val="00B721D7"/>
    <w:rsid w:val="00B7415B"/>
    <w:rsid w:val="00B7488B"/>
    <w:rsid w:val="00B76435"/>
    <w:rsid w:val="00B76C80"/>
    <w:rsid w:val="00B81E21"/>
    <w:rsid w:val="00B83AE6"/>
    <w:rsid w:val="00B84127"/>
    <w:rsid w:val="00B8502C"/>
    <w:rsid w:val="00B86FCE"/>
    <w:rsid w:val="00B87B5E"/>
    <w:rsid w:val="00B920D4"/>
    <w:rsid w:val="00B93947"/>
    <w:rsid w:val="00B94BF8"/>
    <w:rsid w:val="00B95B03"/>
    <w:rsid w:val="00B97917"/>
    <w:rsid w:val="00BA0B22"/>
    <w:rsid w:val="00BA2A8F"/>
    <w:rsid w:val="00BA3F4B"/>
    <w:rsid w:val="00BA418A"/>
    <w:rsid w:val="00BA48AF"/>
    <w:rsid w:val="00BA5372"/>
    <w:rsid w:val="00BA681F"/>
    <w:rsid w:val="00BB165E"/>
    <w:rsid w:val="00BB1811"/>
    <w:rsid w:val="00BB1AD3"/>
    <w:rsid w:val="00BB3806"/>
    <w:rsid w:val="00BB7C21"/>
    <w:rsid w:val="00BC01A0"/>
    <w:rsid w:val="00BC2324"/>
    <w:rsid w:val="00BC42D8"/>
    <w:rsid w:val="00BC46DC"/>
    <w:rsid w:val="00BC4CDA"/>
    <w:rsid w:val="00BC55F9"/>
    <w:rsid w:val="00BD0A31"/>
    <w:rsid w:val="00BD67B6"/>
    <w:rsid w:val="00BD6C1F"/>
    <w:rsid w:val="00BE01CE"/>
    <w:rsid w:val="00BE29FF"/>
    <w:rsid w:val="00BE318F"/>
    <w:rsid w:val="00BE39A0"/>
    <w:rsid w:val="00BE4BEF"/>
    <w:rsid w:val="00BE58AC"/>
    <w:rsid w:val="00BE77B4"/>
    <w:rsid w:val="00BF4E40"/>
    <w:rsid w:val="00BF529A"/>
    <w:rsid w:val="00BF6560"/>
    <w:rsid w:val="00C025D1"/>
    <w:rsid w:val="00C0260E"/>
    <w:rsid w:val="00C03757"/>
    <w:rsid w:val="00C12ACF"/>
    <w:rsid w:val="00C151D4"/>
    <w:rsid w:val="00C208BD"/>
    <w:rsid w:val="00C2095F"/>
    <w:rsid w:val="00C21C46"/>
    <w:rsid w:val="00C22E3A"/>
    <w:rsid w:val="00C24936"/>
    <w:rsid w:val="00C25439"/>
    <w:rsid w:val="00C260AB"/>
    <w:rsid w:val="00C30E6E"/>
    <w:rsid w:val="00C338BA"/>
    <w:rsid w:val="00C33C24"/>
    <w:rsid w:val="00C36AFE"/>
    <w:rsid w:val="00C37E17"/>
    <w:rsid w:val="00C41D33"/>
    <w:rsid w:val="00C479EC"/>
    <w:rsid w:val="00C51C68"/>
    <w:rsid w:val="00C522A6"/>
    <w:rsid w:val="00C559A7"/>
    <w:rsid w:val="00C5725C"/>
    <w:rsid w:val="00C602A5"/>
    <w:rsid w:val="00C6058A"/>
    <w:rsid w:val="00C65F8E"/>
    <w:rsid w:val="00C66478"/>
    <w:rsid w:val="00C70CCE"/>
    <w:rsid w:val="00C71C27"/>
    <w:rsid w:val="00C739AF"/>
    <w:rsid w:val="00C7546A"/>
    <w:rsid w:val="00C80DF9"/>
    <w:rsid w:val="00C81892"/>
    <w:rsid w:val="00C81F28"/>
    <w:rsid w:val="00C8200B"/>
    <w:rsid w:val="00C820D8"/>
    <w:rsid w:val="00C8544B"/>
    <w:rsid w:val="00C87A8F"/>
    <w:rsid w:val="00C91001"/>
    <w:rsid w:val="00C95367"/>
    <w:rsid w:val="00C955CE"/>
    <w:rsid w:val="00C966AA"/>
    <w:rsid w:val="00CA3F97"/>
    <w:rsid w:val="00CA591A"/>
    <w:rsid w:val="00CA6D21"/>
    <w:rsid w:val="00CA6E04"/>
    <w:rsid w:val="00CB04A0"/>
    <w:rsid w:val="00CB3108"/>
    <w:rsid w:val="00CB3468"/>
    <w:rsid w:val="00CB4023"/>
    <w:rsid w:val="00CB47BC"/>
    <w:rsid w:val="00CB4CC5"/>
    <w:rsid w:val="00CB4FB5"/>
    <w:rsid w:val="00CB5E20"/>
    <w:rsid w:val="00CB6441"/>
    <w:rsid w:val="00CB705B"/>
    <w:rsid w:val="00CB73AF"/>
    <w:rsid w:val="00CB79F1"/>
    <w:rsid w:val="00CC1B0C"/>
    <w:rsid w:val="00CC5393"/>
    <w:rsid w:val="00CD18C8"/>
    <w:rsid w:val="00CD26E5"/>
    <w:rsid w:val="00CD45E9"/>
    <w:rsid w:val="00CD7234"/>
    <w:rsid w:val="00CD74C1"/>
    <w:rsid w:val="00CE15B1"/>
    <w:rsid w:val="00CE372D"/>
    <w:rsid w:val="00CE5C1C"/>
    <w:rsid w:val="00CE6287"/>
    <w:rsid w:val="00CE7973"/>
    <w:rsid w:val="00CF2124"/>
    <w:rsid w:val="00D0223D"/>
    <w:rsid w:val="00D02E77"/>
    <w:rsid w:val="00D05110"/>
    <w:rsid w:val="00D05354"/>
    <w:rsid w:val="00D05472"/>
    <w:rsid w:val="00D07AA3"/>
    <w:rsid w:val="00D10B67"/>
    <w:rsid w:val="00D115AD"/>
    <w:rsid w:val="00D14AF8"/>
    <w:rsid w:val="00D15FBF"/>
    <w:rsid w:val="00D1635B"/>
    <w:rsid w:val="00D16502"/>
    <w:rsid w:val="00D1689A"/>
    <w:rsid w:val="00D16B63"/>
    <w:rsid w:val="00D16CB1"/>
    <w:rsid w:val="00D17A9B"/>
    <w:rsid w:val="00D21E63"/>
    <w:rsid w:val="00D22CD8"/>
    <w:rsid w:val="00D24C80"/>
    <w:rsid w:val="00D268C1"/>
    <w:rsid w:val="00D30409"/>
    <w:rsid w:val="00D32C40"/>
    <w:rsid w:val="00D405BA"/>
    <w:rsid w:val="00D41536"/>
    <w:rsid w:val="00D4178E"/>
    <w:rsid w:val="00D432F8"/>
    <w:rsid w:val="00D44397"/>
    <w:rsid w:val="00D4618C"/>
    <w:rsid w:val="00D503C1"/>
    <w:rsid w:val="00D51D30"/>
    <w:rsid w:val="00D52595"/>
    <w:rsid w:val="00D52E7C"/>
    <w:rsid w:val="00D52EF5"/>
    <w:rsid w:val="00D53046"/>
    <w:rsid w:val="00D5345D"/>
    <w:rsid w:val="00D602F0"/>
    <w:rsid w:val="00D63B7E"/>
    <w:rsid w:val="00D65E50"/>
    <w:rsid w:val="00D72032"/>
    <w:rsid w:val="00D7723D"/>
    <w:rsid w:val="00D82374"/>
    <w:rsid w:val="00D834ED"/>
    <w:rsid w:val="00D83897"/>
    <w:rsid w:val="00D8534A"/>
    <w:rsid w:val="00D863E2"/>
    <w:rsid w:val="00D87C80"/>
    <w:rsid w:val="00D87E3A"/>
    <w:rsid w:val="00D91409"/>
    <w:rsid w:val="00D915CA"/>
    <w:rsid w:val="00D927F3"/>
    <w:rsid w:val="00D93485"/>
    <w:rsid w:val="00D93C8D"/>
    <w:rsid w:val="00D94996"/>
    <w:rsid w:val="00D94F60"/>
    <w:rsid w:val="00D97083"/>
    <w:rsid w:val="00D9717F"/>
    <w:rsid w:val="00D974A8"/>
    <w:rsid w:val="00D97696"/>
    <w:rsid w:val="00D97E23"/>
    <w:rsid w:val="00DA0B85"/>
    <w:rsid w:val="00DA3D93"/>
    <w:rsid w:val="00DA42D4"/>
    <w:rsid w:val="00DA5C14"/>
    <w:rsid w:val="00DB1E37"/>
    <w:rsid w:val="00DB2580"/>
    <w:rsid w:val="00DB27B4"/>
    <w:rsid w:val="00DB6C01"/>
    <w:rsid w:val="00DC21C9"/>
    <w:rsid w:val="00DC5BBB"/>
    <w:rsid w:val="00DC5E9B"/>
    <w:rsid w:val="00DC6353"/>
    <w:rsid w:val="00DD02D9"/>
    <w:rsid w:val="00DD0370"/>
    <w:rsid w:val="00DD3D71"/>
    <w:rsid w:val="00DD6864"/>
    <w:rsid w:val="00DD6BD7"/>
    <w:rsid w:val="00DD76CD"/>
    <w:rsid w:val="00DE11C3"/>
    <w:rsid w:val="00DE1413"/>
    <w:rsid w:val="00DE301A"/>
    <w:rsid w:val="00DE7B34"/>
    <w:rsid w:val="00DF462A"/>
    <w:rsid w:val="00DF4B0A"/>
    <w:rsid w:val="00DF5D86"/>
    <w:rsid w:val="00DF5DE0"/>
    <w:rsid w:val="00E01C83"/>
    <w:rsid w:val="00E01DA1"/>
    <w:rsid w:val="00E030B8"/>
    <w:rsid w:val="00E0328B"/>
    <w:rsid w:val="00E0421A"/>
    <w:rsid w:val="00E04388"/>
    <w:rsid w:val="00E0442F"/>
    <w:rsid w:val="00E05E04"/>
    <w:rsid w:val="00E07B2B"/>
    <w:rsid w:val="00E11ACC"/>
    <w:rsid w:val="00E124F4"/>
    <w:rsid w:val="00E1516B"/>
    <w:rsid w:val="00E17BA2"/>
    <w:rsid w:val="00E21688"/>
    <w:rsid w:val="00E222B2"/>
    <w:rsid w:val="00E23022"/>
    <w:rsid w:val="00E2378E"/>
    <w:rsid w:val="00E25421"/>
    <w:rsid w:val="00E31413"/>
    <w:rsid w:val="00E31BC3"/>
    <w:rsid w:val="00E334AB"/>
    <w:rsid w:val="00E33E0F"/>
    <w:rsid w:val="00E35614"/>
    <w:rsid w:val="00E36956"/>
    <w:rsid w:val="00E37298"/>
    <w:rsid w:val="00E4003B"/>
    <w:rsid w:val="00E4056E"/>
    <w:rsid w:val="00E43A9B"/>
    <w:rsid w:val="00E44655"/>
    <w:rsid w:val="00E51A43"/>
    <w:rsid w:val="00E54330"/>
    <w:rsid w:val="00E551B8"/>
    <w:rsid w:val="00E5588F"/>
    <w:rsid w:val="00E56572"/>
    <w:rsid w:val="00E601B7"/>
    <w:rsid w:val="00E61978"/>
    <w:rsid w:val="00E63342"/>
    <w:rsid w:val="00E64DAF"/>
    <w:rsid w:val="00E65DD3"/>
    <w:rsid w:val="00E66311"/>
    <w:rsid w:val="00E77371"/>
    <w:rsid w:val="00E81EBD"/>
    <w:rsid w:val="00E82275"/>
    <w:rsid w:val="00E8299E"/>
    <w:rsid w:val="00E84ADC"/>
    <w:rsid w:val="00E860AA"/>
    <w:rsid w:val="00E90A22"/>
    <w:rsid w:val="00E917D6"/>
    <w:rsid w:val="00E91F02"/>
    <w:rsid w:val="00E9241F"/>
    <w:rsid w:val="00E93897"/>
    <w:rsid w:val="00E9501F"/>
    <w:rsid w:val="00E95974"/>
    <w:rsid w:val="00E967FE"/>
    <w:rsid w:val="00EA46E0"/>
    <w:rsid w:val="00EA5889"/>
    <w:rsid w:val="00EA691A"/>
    <w:rsid w:val="00EA6AF7"/>
    <w:rsid w:val="00EA7B02"/>
    <w:rsid w:val="00EB54F7"/>
    <w:rsid w:val="00EB782E"/>
    <w:rsid w:val="00EC05A6"/>
    <w:rsid w:val="00EC1647"/>
    <w:rsid w:val="00EC34E8"/>
    <w:rsid w:val="00EC4E36"/>
    <w:rsid w:val="00ED0DE9"/>
    <w:rsid w:val="00ED0FCD"/>
    <w:rsid w:val="00ED2608"/>
    <w:rsid w:val="00ED293E"/>
    <w:rsid w:val="00ED48CD"/>
    <w:rsid w:val="00ED49CF"/>
    <w:rsid w:val="00ED72E3"/>
    <w:rsid w:val="00EE31A4"/>
    <w:rsid w:val="00EE3EEA"/>
    <w:rsid w:val="00EE4AD8"/>
    <w:rsid w:val="00EE7840"/>
    <w:rsid w:val="00EE7D5E"/>
    <w:rsid w:val="00EF048F"/>
    <w:rsid w:val="00EF157B"/>
    <w:rsid w:val="00EF3502"/>
    <w:rsid w:val="00EF53ED"/>
    <w:rsid w:val="00EF5C2F"/>
    <w:rsid w:val="00EF735A"/>
    <w:rsid w:val="00F008E0"/>
    <w:rsid w:val="00F00D9F"/>
    <w:rsid w:val="00F01E5A"/>
    <w:rsid w:val="00F03478"/>
    <w:rsid w:val="00F06FE7"/>
    <w:rsid w:val="00F100F3"/>
    <w:rsid w:val="00F104EB"/>
    <w:rsid w:val="00F11FAD"/>
    <w:rsid w:val="00F124DA"/>
    <w:rsid w:val="00F1259F"/>
    <w:rsid w:val="00F135EC"/>
    <w:rsid w:val="00F145C2"/>
    <w:rsid w:val="00F15674"/>
    <w:rsid w:val="00F159BC"/>
    <w:rsid w:val="00F15A62"/>
    <w:rsid w:val="00F167DB"/>
    <w:rsid w:val="00F16D3E"/>
    <w:rsid w:val="00F177B2"/>
    <w:rsid w:val="00F204D2"/>
    <w:rsid w:val="00F20DF8"/>
    <w:rsid w:val="00F21471"/>
    <w:rsid w:val="00F302F8"/>
    <w:rsid w:val="00F308AE"/>
    <w:rsid w:val="00F30A6C"/>
    <w:rsid w:val="00F32AB8"/>
    <w:rsid w:val="00F33A78"/>
    <w:rsid w:val="00F342E9"/>
    <w:rsid w:val="00F35CE8"/>
    <w:rsid w:val="00F3605A"/>
    <w:rsid w:val="00F364B1"/>
    <w:rsid w:val="00F373C4"/>
    <w:rsid w:val="00F4196A"/>
    <w:rsid w:val="00F429F6"/>
    <w:rsid w:val="00F43B72"/>
    <w:rsid w:val="00F43E72"/>
    <w:rsid w:val="00F4474F"/>
    <w:rsid w:val="00F4563B"/>
    <w:rsid w:val="00F51650"/>
    <w:rsid w:val="00F521E2"/>
    <w:rsid w:val="00F55009"/>
    <w:rsid w:val="00F55EA3"/>
    <w:rsid w:val="00F55F9E"/>
    <w:rsid w:val="00F634BA"/>
    <w:rsid w:val="00F643D0"/>
    <w:rsid w:val="00F64DAF"/>
    <w:rsid w:val="00F65A2C"/>
    <w:rsid w:val="00F7364E"/>
    <w:rsid w:val="00F75B4F"/>
    <w:rsid w:val="00F7729F"/>
    <w:rsid w:val="00F77C60"/>
    <w:rsid w:val="00F802F1"/>
    <w:rsid w:val="00F81614"/>
    <w:rsid w:val="00F823E4"/>
    <w:rsid w:val="00F843ED"/>
    <w:rsid w:val="00F8549B"/>
    <w:rsid w:val="00F900D1"/>
    <w:rsid w:val="00F90774"/>
    <w:rsid w:val="00F91287"/>
    <w:rsid w:val="00F97D28"/>
    <w:rsid w:val="00FA0036"/>
    <w:rsid w:val="00FA06CD"/>
    <w:rsid w:val="00FA289A"/>
    <w:rsid w:val="00FA3CDB"/>
    <w:rsid w:val="00FA47DF"/>
    <w:rsid w:val="00FA7735"/>
    <w:rsid w:val="00FB059E"/>
    <w:rsid w:val="00FB0622"/>
    <w:rsid w:val="00FB3839"/>
    <w:rsid w:val="00FC274E"/>
    <w:rsid w:val="00FC2846"/>
    <w:rsid w:val="00FC5A10"/>
    <w:rsid w:val="00FC5F22"/>
    <w:rsid w:val="00FC6D54"/>
    <w:rsid w:val="00FC6FBD"/>
    <w:rsid w:val="00FC789F"/>
    <w:rsid w:val="00FD023A"/>
    <w:rsid w:val="00FD26DD"/>
    <w:rsid w:val="00FD31BE"/>
    <w:rsid w:val="00FD3455"/>
    <w:rsid w:val="00FE061F"/>
    <w:rsid w:val="00FE07A9"/>
    <w:rsid w:val="00FE2BC3"/>
    <w:rsid w:val="00FE66F7"/>
    <w:rsid w:val="00FE6D82"/>
    <w:rsid w:val="00FE756B"/>
    <w:rsid w:val="00FF0A40"/>
    <w:rsid w:val="00FF0D5C"/>
    <w:rsid w:val="00FF2737"/>
    <w:rsid w:val="00FF473F"/>
    <w:rsid w:val="00FF6511"/>
    <w:rsid w:val="00FF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97DFD29-E428-40F4-AD0A-EC7CFEE879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B2580"/>
    <w:pPr>
      <w:ind w:firstLine="680"/>
      <w:jc w:val="both"/>
    </w:pPr>
    <w:rPr>
      <w:sz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0958F7"/>
    <w:pPr>
      <w:keepNext/>
      <w:keepLines/>
      <w:pageBreakBefore/>
      <w:numPr>
        <w:numId w:val="1"/>
      </w:numPr>
      <w:spacing w:before="120" w:after="240"/>
      <w:outlineLvl w:val="0"/>
    </w:pPr>
    <w:rPr>
      <w:rFonts w:eastAsiaTheme="majorEastAsia" w:cstheme="majorBidi"/>
      <w:b/>
      <w:bCs/>
      <w:caps/>
      <w:color w:val="365F91" w:themeColor="accent1" w:themeShade="BF"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958F7"/>
    <w:pPr>
      <w:keepNext/>
      <w:keepLines/>
      <w:numPr>
        <w:ilvl w:val="1"/>
        <w:numId w:val="1"/>
      </w:numPr>
      <w:spacing w:before="120" w:after="240"/>
      <w:outlineLvl w:val="1"/>
    </w:pPr>
    <w:rPr>
      <w:rFonts w:eastAsiaTheme="majorEastAsia" w:cstheme="majorBidi"/>
      <w:b/>
      <w:bCs/>
      <w:sz w:val="28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DB2580"/>
    <w:pPr>
      <w:keepNext/>
      <w:keepLines/>
      <w:numPr>
        <w:ilvl w:val="2"/>
        <w:numId w:val="1"/>
      </w:numPr>
      <w:spacing w:before="120" w:after="120"/>
      <w:outlineLvl w:val="2"/>
    </w:pPr>
    <w:rPr>
      <w:rFonts w:eastAsiaTheme="majorEastAsia" w:cstheme="majorBidi"/>
      <w:bCs/>
      <w:color w:val="000000" w:themeColor="text1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D6F3E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D6F3E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D6F3E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D6F3E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D6F3E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D6F3E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link w:val="BezmezerChar"/>
    <w:uiPriority w:val="1"/>
    <w:qFormat/>
    <w:rsid w:val="00DB2580"/>
    <w:pPr>
      <w:spacing w:after="120"/>
      <w:jc w:val="both"/>
    </w:pPr>
    <w:rPr>
      <w:sz w:val="24"/>
    </w:rPr>
  </w:style>
  <w:style w:type="character" w:customStyle="1" w:styleId="Nadpis1Char">
    <w:name w:val="Nadpis 1 Char"/>
    <w:basedOn w:val="Standardnpsmoodstavce"/>
    <w:link w:val="Nadpis1"/>
    <w:uiPriority w:val="9"/>
    <w:rsid w:val="000958F7"/>
    <w:rPr>
      <w:rFonts w:ascii="Times New Roman" w:eastAsiaTheme="majorEastAsia" w:hAnsi="Times New Roman" w:cstheme="majorBidi"/>
      <w:b/>
      <w:bCs/>
      <w:caps/>
      <w:color w:val="365F91" w:themeColor="accent1" w:themeShade="BF"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958F7"/>
    <w:rPr>
      <w:rFonts w:ascii="Times New Roman" w:eastAsiaTheme="majorEastAsia" w:hAnsi="Times New Roman" w:cstheme="majorBidi"/>
      <w:b/>
      <w:bCs/>
      <w:sz w:val="28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DB2580"/>
    <w:rPr>
      <w:rFonts w:eastAsiaTheme="majorEastAsia" w:cstheme="majorBidi"/>
      <w:bCs/>
      <w:color w:val="000000" w:themeColor="text1"/>
      <w:sz w:val="24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D6F3E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D6F3E"/>
    <w:rPr>
      <w:rFonts w:asciiTheme="majorHAnsi" w:eastAsiaTheme="majorEastAsia" w:hAnsiTheme="majorHAnsi" w:cstheme="majorBidi"/>
      <w:color w:val="243F60" w:themeColor="accent1" w:themeShade="7F"/>
      <w:sz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D6F3E"/>
    <w:rPr>
      <w:rFonts w:asciiTheme="majorHAnsi" w:eastAsiaTheme="majorEastAsia" w:hAnsiTheme="majorHAnsi" w:cstheme="majorBidi"/>
      <w:i/>
      <w:iCs/>
      <w:color w:val="243F60" w:themeColor="accent1" w:themeShade="7F"/>
      <w:sz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D6F3E"/>
    <w:rPr>
      <w:rFonts w:asciiTheme="majorHAnsi" w:eastAsiaTheme="majorEastAsia" w:hAnsiTheme="majorHAnsi" w:cstheme="majorBidi"/>
      <w:i/>
      <w:iCs/>
      <w:color w:val="404040" w:themeColor="text1" w:themeTint="BF"/>
      <w:sz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D6F3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D6F3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0D6F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D6F3E"/>
    <w:rPr>
      <w:rFonts w:ascii="Tahoma" w:hAnsi="Tahoma" w:cs="Tahoma"/>
      <w:sz w:val="16"/>
      <w:szCs w:val="16"/>
    </w:rPr>
  </w:style>
  <w:style w:type="character" w:customStyle="1" w:styleId="BezmezerChar">
    <w:name w:val="Bez mezer Char"/>
    <w:basedOn w:val="Standardnpsmoodstavce"/>
    <w:link w:val="Bezmezer"/>
    <w:uiPriority w:val="1"/>
    <w:rsid w:val="00DB2580"/>
    <w:rPr>
      <w:sz w:val="24"/>
    </w:rPr>
  </w:style>
  <w:style w:type="paragraph" w:styleId="Zhlav">
    <w:name w:val="header"/>
    <w:basedOn w:val="Normln"/>
    <w:link w:val="ZhlavChar"/>
    <w:uiPriority w:val="99"/>
    <w:unhideWhenUsed/>
    <w:rsid w:val="0026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04B6"/>
    <w:rPr>
      <w:rFonts w:ascii="Times New Roman" w:hAnsi="Times New Roman"/>
      <w:sz w:val="24"/>
    </w:rPr>
  </w:style>
  <w:style w:type="paragraph" w:styleId="Zpat">
    <w:name w:val="footer"/>
    <w:basedOn w:val="Normln"/>
    <w:link w:val="ZpatChar"/>
    <w:uiPriority w:val="99"/>
    <w:unhideWhenUsed/>
    <w:rsid w:val="002604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604B6"/>
    <w:rPr>
      <w:rFonts w:ascii="Times New Roman" w:hAnsi="Times New Roman"/>
      <w:sz w:val="24"/>
    </w:rPr>
  </w:style>
  <w:style w:type="character" w:styleId="Hypertextovodkaz">
    <w:name w:val="Hyperlink"/>
    <w:basedOn w:val="Standardnpsmoodstavce"/>
    <w:uiPriority w:val="99"/>
    <w:unhideWhenUsed/>
    <w:rsid w:val="00C338BA"/>
    <w:rPr>
      <w:color w:val="0000FF" w:themeColor="hyperlink"/>
      <w:u w:val="single"/>
    </w:rPr>
  </w:style>
  <w:style w:type="table" w:styleId="Mkatabulky">
    <w:name w:val="Table Grid"/>
    <w:basedOn w:val="Normlntabulka"/>
    <w:uiPriority w:val="59"/>
    <w:rsid w:val="002162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ulek">
    <w:name w:val="caption"/>
    <w:basedOn w:val="Normln"/>
    <w:next w:val="Normln"/>
    <w:uiPriority w:val="35"/>
    <w:unhideWhenUsed/>
    <w:qFormat/>
    <w:rsid w:val="002162BA"/>
    <w:pPr>
      <w:spacing w:line="240" w:lineRule="auto"/>
      <w:ind w:firstLine="0"/>
    </w:pPr>
    <w:rPr>
      <w:bCs/>
      <w:color w:val="000000" w:themeColor="text1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320DAD"/>
    <w:pPr>
      <w:spacing w:after="0" w:line="240" w:lineRule="auto"/>
      <w:ind w:firstLine="0"/>
      <w:jc w:val="left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320DAD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320DAD"/>
    <w:rPr>
      <w:vertAlign w:val="superscript"/>
    </w:r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1519A3"/>
    <w:pPr>
      <w:pageBreakBefore w:val="0"/>
      <w:numPr>
        <w:numId w:val="0"/>
      </w:numPr>
      <w:spacing w:before="480" w:after="0"/>
      <w:jc w:val="left"/>
      <w:outlineLvl w:val="9"/>
    </w:pPr>
    <w:rPr>
      <w:rFonts w:asciiTheme="majorHAnsi" w:hAnsiTheme="majorHAnsi"/>
      <w:caps w:val="0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15154B"/>
    <w:pPr>
      <w:tabs>
        <w:tab w:val="left" w:pos="709"/>
        <w:tab w:val="right" w:leader="dot" w:pos="9062"/>
      </w:tabs>
      <w:spacing w:before="120" w:after="100" w:line="312" w:lineRule="auto"/>
      <w:ind w:firstLine="426"/>
    </w:pPr>
    <w:rPr>
      <w:b/>
      <w:noProof/>
    </w:rPr>
  </w:style>
  <w:style w:type="paragraph" w:styleId="Obsah2">
    <w:name w:val="toc 2"/>
    <w:basedOn w:val="Normln"/>
    <w:next w:val="Normln"/>
    <w:autoRedefine/>
    <w:uiPriority w:val="39"/>
    <w:unhideWhenUsed/>
    <w:rsid w:val="0015154B"/>
    <w:pPr>
      <w:tabs>
        <w:tab w:val="left" w:pos="1276"/>
        <w:tab w:val="right" w:leader="dot" w:pos="9062"/>
      </w:tabs>
      <w:spacing w:after="100"/>
      <w:ind w:left="240" w:firstLine="469"/>
    </w:pPr>
  </w:style>
  <w:style w:type="paragraph" w:styleId="Obsah3">
    <w:name w:val="toc 3"/>
    <w:basedOn w:val="Normln"/>
    <w:next w:val="Normln"/>
    <w:autoRedefine/>
    <w:uiPriority w:val="39"/>
    <w:unhideWhenUsed/>
    <w:rsid w:val="001519A3"/>
    <w:pPr>
      <w:spacing w:after="100"/>
      <w:ind w:left="480"/>
    </w:pPr>
  </w:style>
  <w:style w:type="paragraph" w:styleId="Odstavecseseznamem">
    <w:name w:val="List Paragraph"/>
    <w:basedOn w:val="Normln"/>
    <w:uiPriority w:val="34"/>
    <w:qFormat/>
    <w:rsid w:val="000F62C0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9C70AF"/>
    <w:rPr>
      <w:b/>
      <w:bCs/>
    </w:rPr>
  </w:style>
  <w:style w:type="character" w:customStyle="1" w:styleId="apple-converted-space">
    <w:name w:val="apple-converted-space"/>
    <w:basedOn w:val="Standardnpsmoodstavce"/>
    <w:rsid w:val="005D797E"/>
  </w:style>
  <w:style w:type="paragraph" w:customStyle="1" w:styleId="Default">
    <w:name w:val="Default"/>
    <w:rsid w:val="003A01C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A352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A352C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2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9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7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02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2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227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88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7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4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91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21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06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17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515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2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56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5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07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373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B3A69D-A35C-4914-94F8-B8B5DE6C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1</Pages>
  <Words>2278</Words>
  <Characters>13443</Characters>
  <Application>Microsoft Office Word</Application>
  <DocSecurity>0</DocSecurity>
  <Lines>112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Koncepce dostupného bydlení</vt:lpstr>
    </vt:vector>
  </TitlesOfParts>
  <Company>Město Chrudim</Company>
  <LinksUpToDate>false</LinksUpToDate>
  <CharactersWithSpaces>15690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Koncepce dostupného bydlení</dc:title>
  <dc:creator>Michaela Hošková</dc:creator>
  <cp:lastModifiedBy>Administrator</cp:lastModifiedBy>
  <cp:revision>43</cp:revision>
  <cp:lastPrinted>2016-01-14T15:21:00Z</cp:lastPrinted>
  <dcterms:created xsi:type="dcterms:W3CDTF">2020-01-22T15:42:00Z</dcterms:created>
  <dcterms:modified xsi:type="dcterms:W3CDTF">2020-01-31T06:29:00Z</dcterms:modified>
</cp:coreProperties>
</file>