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E01" w:rsidRDefault="00C32173">
      <w:pPr>
        <w:jc w:val="center"/>
      </w:pPr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4427113</wp:posOffset>
            </wp:positionH>
            <wp:positionV relativeFrom="paragraph">
              <wp:posOffset>-591452</wp:posOffset>
            </wp:positionV>
            <wp:extent cx="1270458" cy="508186"/>
            <wp:effectExtent l="0" t="0" r="5892" b="6164"/>
            <wp:wrapNone/>
            <wp:docPr id="1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l="9040" t="27941" r="12889" b="16176"/>
                    <a:stretch>
                      <a:fillRect/>
                    </a:stretch>
                  </pic:blipFill>
                  <pic:spPr>
                    <a:xfrm>
                      <a:off x="0" y="0"/>
                      <a:ext cx="1270458" cy="50818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-38103</wp:posOffset>
            </wp:positionH>
            <wp:positionV relativeFrom="paragraph">
              <wp:posOffset>-544826</wp:posOffset>
            </wp:positionV>
            <wp:extent cx="2125979" cy="436882"/>
            <wp:effectExtent l="0" t="0" r="7621" b="1268"/>
            <wp:wrapNone/>
            <wp:docPr id="2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25979" cy="436882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0F3E01" w:rsidRDefault="00C32173">
      <w:pPr>
        <w:jc w:val="center"/>
      </w:pPr>
      <w:r>
        <w:rPr>
          <w:b/>
          <w:noProof/>
          <w:sz w:val="28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7327297</wp:posOffset>
            </wp:positionH>
            <wp:positionV relativeFrom="margin">
              <wp:posOffset>-633093</wp:posOffset>
            </wp:positionV>
            <wp:extent cx="1516980" cy="847721"/>
            <wp:effectExtent l="0" t="0" r="7020" b="0"/>
            <wp:wrapNone/>
            <wp:docPr id="3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6980" cy="84772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</w:rPr>
        <w:t>STRATEGICKÝ PLÁN ROZVOJE MĚSTA</w:t>
      </w:r>
    </w:p>
    <w:p w:rsidR="000F3E01" w:rsidRDefault="00C32173">
      <w:pPr>
        <w:jc w:val="center"/>
        <w:rPr>
          <w:b/>
          <w:sz w:val="28"/>
        </w:rPr>
      </w:pPr>
      <w:r>
        <w:rPr>
          <w:b/>
          <w:sz w:val="28"/>
        </w:rPr>
        <w:t>2017 – 2022</w:t>
      </w:r>
    </w:p>
    <w:p w:rsidR="000F3E01" w:rsidRDefault="00C32173">
      <w:pPr>
        <w:jc w:val="center"/>
        <w:rPr>
          <w:b/>
        </w:rPr>
      </w:pPr>
      <w:r>
        <w:rPr>
          <w:b/>
        </w:rPr>
        <w:t>Zpráva o průběžném plnění strategického plánu města Hodonín</w:t>
      </w:r>
    </w:p>
    <w:p w:rsidR="000F3E01" w:rsidRDefault="00C32173">
      <w:pPr>
        <w:jc w:val="center"/>
        <w:rPr>
          <w:b/>
        </w:rPr>
      </w:pPr>
      <w:r>
        <w:rPr>
          <w:b/>
        </w:rPr>
        <w:t>ke dni 16. 4. 2018</w:t>
      </w:r>
    </w:p>
    <w:p w:rsidR="000F3E01" w:rsidRDefault="000F3E01"/>
    <w:p w:rsidR="000F3E01" w:rsidRDefault="00C32173">
      <w:pPr>
        <w:suppressAutoHyphens w:val="0"/>
        <w:jc w:val="both"/>
      </w:pPr>
      <w:r>
        <w:t>Strategický plán rozvoje města (dále jen „SP“) na období let 2017 – 2022 byl schválen na 26. zasedání Zastupitelstva města Hodonína konaném dne 12. 12. 2017 usnesením č. 1541.</w:t>
      </w:r>
    </w:p>
    <w:p w:rsidR="000F3E01" w:rsidRDefault="00C32173">
      <w:pPr>
        <w:suppressAutoHyphens w:val="0"/>
        <w:jc w:val="both"/>
      </w:pPr>
      <w:r>
        <w:t>Na celý proces vytváření strategického plánu dohlížela Komise pro strategický rozvoj, zpracovatelem strategie byla AQE advisors, a.s., jež bylo vybráno na základě výběrového řízení.</w:t>
      </w:r>
    </w:p>
    <w:p w:rsidR="000F3E01" w:rsidRDefault="00C32173">
      <w:pPr>
        <w:suppressAutoHyphens w:val="0"/>
        <w:jc w:val="both"/>
      </w:pPr>
      <w:r>
        <w:t>SP ve své obecné návrhové části definuje řadu cílů, jež mají být naplňovány v průběhu plánovaného období. Bylo definováno celkem 5 oblastí, ve kterých byly konkretizovány opatření k naplnění daného strategického plánu:</w:t>
      </w:r>
    </w:p>
    <w:p w:rsidR="000F3E01" w:rsidRDefault="00C32173">
      <w:pPr>
        <w:pStyle w:val="Odstavecseseznamem"/>
        <w:numPr>
          <w:ilvl w:val="0"/>
          <w:numId w:val="1"/>
        </w:numPr>
        <w:suppressAutoHyphens w:val="0"/>
        <w:rPr>
          <w:b/>
          <w:color w:val="4F81BD"/>
        </w:rPr>
      </w:pPr>
      <w:r>
        <w:rPr>
          <w:b/>
          <w:color w:val="4F81BD"/>
        </w:rPr>
        <w:t>Podpora ekonomického rozvoje města</w:t>
      </w:r>
    </w:p>
    <w:p w:rsidR="000F3E01" w:rsidRDefault="00C32173">
      <w:pPr>
        <w:pStyle w:val="Odstavecseseznamem"/>
        <w:numPr>
          <w:ilvl w:val="0"/>
          <w:numId w:val="1"/>
        </w:numPr>
        <w:suppressAutoHyphens w:val="0"/>
        <w:rPr>
          <w:b/>
          <w:color w:val="9BBB59"/>
        </w:rPr>
      </w:pPr>
      <w:r>
        <w:rPr>
          <w:b/>
          <w:color w:val="9BBB59"/>
        </w:rPr>
        <w:t>Podpora rozvoje infrastruktury a zlepšení životního prostředí</w:t>
      </w:r>
    </w:p>
    <w:p w:rsidR="000F3E01" w:rsidRDefault="00C32173">
      <w:pPr>
        <w:pStyle w:val="Odstavecseseznamem"/>
        <w:numPr>
          <w:ilvl w:val="0"/>
          <w:numId w:val="1"/>
        </w:numPr>
        <w:suppressAutoHyphens w:val="0"/>
        <w:rPr>
          <w:b/>
          <w:color w:val="8064A2"/>
        </w:rPr>
      </w:pPr>
      <w:r>
        <w:rPr>
          <w:b/>
          <w:color w:val="8064A2"/>
        </w:rPr>
        <w:t>Zlepšení kvality života obyvatel ve městě</w:t>
      </w:r>
    </w:p>
    <w:p w:rsidR="000F3E01" w:rsidRDefault="00C32173">
      <w:pPr>
        <w:pStyle w:val="Odstavecseseznamem"/>
        <w:numPr>
          <w:ilvl w:val="0"/>
          <w:numId w:val="1"/>
        </w:numPr>
        <w:suppressAutoHyphens w:val="0"/>
      </w:pPr>
      <w:r>
        <w:rPr>
          <w:b/>
          <w:color w:val="4BACC6"/>
        </w:rPr>
        <w:t>Podpora rozvoje cestovního ruchu</w:t>
      </w:r>
    </w:p>
    <w:p w:rsidR="000F3E01" w:rsidRDefault="00C32173">
      <w:pPr>
        <w:pStyle w:val="Odstavecseseznamem"/>
        <w:numPr>
          <w:ilvl w:val="0"/>
          <w:numId w:val="1"/>
        </w:numPr>
        <w:suppressAutoHyphens w:val="0"/>
        <w:rPr>
          <w:b/>
          <w:color w:val="F79646"/>
        </w:rPr>
      </w:pPr>
      <w:r>
        <w:rPr>
          <w:b/>
          <w:color w:val="F79646"/>
        </w:rPr>
        <w:t>Zapojení veřejnosti do života města</w:t>
      </w:r>
    </w:p>
    <w:p w:rsidR="000F3E01" w:rsidRDefault="00C32173">
      <w:pPr>
        <w:suppressAutoHyphens w:val="0"/>
        <w:spacing w:after="0"/>
        <w:jc w:val="both"/>
      </w:pPr>
      <w:r>
        <w:t>Pro postupné naplňování SP slouží implementační část, akční plán (dále jen „AP), která je jeho nedílnou součástí. Tento AP byl schválen spolu s SP na zasedání zastupitelstva. AP je dokumentem, který blíže určuje priority na časové období 2017 – 2019. AP obsahově vychází z návrhové části SP jako z hlavního plánu celé strategie a osahuje úhrn konkrétních aktivit, které mají být v daném období být realizovány.</w:t>
      </w:r>
    </w:p>
    <w:p w:rsidR="000F3E01" w:rsidRDefault="00C32173">
      <w:pPr>
        <w:suppressAutoHyphens w:val="0"/>
        <w:spacing w:after="0"/>
        <w:jc w:val="both"/>
      </w:pPr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-1271</wp:posOffset>
            </wp:positionH>
            <wp:positionV relativeFrom="paragraph">
              <wp:posOffset>192408</wp:posOffset>
            </wp:positionV>
            <wp:extent cx="2924178" cy="1402717"/>
            <wp:effectExtent l="0" t="0" r="9525" b="26035"/>
            <wp:wrapTight wrapText="bothSides">
              <wp:wrapPolygon edited="0">
                <wp:start x="0" y="0"/>
                <wp:lineTo x="0" y="21708"/>
                <wp:lineTo x="21530" y="21708"/>
                <wp:lineTo x="21530" y="0"/>
                <wp:lineTo x="0" y="0"/>
              </wp:wrapPolygon>
            </wp:wrapTight>
            <wp:docPr id="4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2961641</wp:posOffset>
            </wp:positionH>
            <wp:positionV relativeFrom="paragraph">
              <wp:posOffset>192408</wp:posOffset>
            </wp:positionV>
            <wp:extent cx="3089913" cy="1402717"/>
            <wp:effectExtent l="0" t="0" r="15240" b="26035"/>
            <wp:wrapTight wrapText="bothSides">
              <wp:wrapPolygon edited="0">
                <wp:start x="0" y="0"/>
                <wp:lineTo x="0" y="21708"/>
                <wp:lineTo x="21573" y="21708"/>
                <wp:lineTo x="21573" y="0"/>
                <wp:lineTo x="0" y="0"/>
              </wp:wrapPolygon>
            </wp:wrapTight>
            <wp:docPr id="5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>
        <w:br/>
      </w:r>
    </w:p>
    <w:p w:rsidR="000F3E01" w:rsidRDefault="00C32173">
      <w:pPr>
        <w:suppressAutoHyphens w:val="0"/>
        <w:spacing w:after="0"/>
        <w:jc w:val="both"/>
        <w:sectPr w:rsidR="000F3E01">
          <w:pgSz w:w="11906" w:h="16838"/>
          <w:pgMar w:top="1417" w:right="1417" w:bottom="1417" w:left="1417" w:header="708" w:footer="708" w:gutter="0"/>
          <w:cols w:space="708"/>
        </w:sectPr>
      </w:pPr>
      <w:r>
        <w:t>V rámci zpracování strategického plánu byl také vyhotoven dotazník pro veřejnost, jež byl dostupný on-line. Do odpovídání na položené otázky se zapojilo cekem 16 osob.</w:t>
      </w:r>
      <w:r>
        <w:rPr>
          <w:lang w:eastAsia="cs-CZ"/>
        </w:rPr>
        <w:t xml:space="preserve"> </w:t>
      </w:r>
    </w:p>
    <w:p w:rsidR="000F3E01" w:rsidRDefault="00C32173">
      <w:r>
        <w:lastRenderedPageBreak/>
        <w:t xml:space="preserve">V následujících tabulkách jsou uvedeny jednotlivé oblasti rozvoje stanovené ve SP, u uvedených aktivit jsou již činěny úkony k naplnění cílů: </w:t>
      </w:r>
    </w:p>
    <w:tbl>
      <w:tblPr>
        <w:tblW w:w="1504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0"/>
        <w:gridCol w:w="3670"/>
        <w:gridCol w:w="709"/>
        <w:gridCol w:w="3118"/>
        <w:gridCol w:w="992"/>
        <w:gridCol w:w="993"/>
        <w:gridCol w:w="1275"/>
        <w:gridCol w:w="3544"/>
      </w:tblGrid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1.1 Podpora místní ekonomiky a zaměstnanosti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 plnění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102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1.1.1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Informační místo pro podnikatele v Hodoníně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Informační místo k přípravě dotací, odpovídání dotazů a konzultace od obecných dotazů až po dotace EU atd.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600 000</w:t>
            </w:r>
          </w:p>
        </w:tc>
        <w:tc>
          <w:tcPr>
            <w:tcW w:w="99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0F3E01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MěÚ Hodonín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 - připravovaná smlouva s Okresní hospodářskou komorou k podpoře poradenského místa pro podnikatele.</w:t>
            </w:r>
          </w:p>
        </w:tc>
      </w:tr>
      <w:tr w:rsidR="000F3E01">
        <w:trPr>
          <w:trHeight w:val="102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1.1.3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 xml:space="preserve">Zpracování oborové strategie (koncepce) </w:t>
            </w:r>
          </w:p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rozvoje podnikání a zaměstnanosti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2017-2019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Zpracování oborové strategie (koncepce) rozvoje podnikání a zaměstnanosti.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250 000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250 000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 - zpracovává se zadání veřejné zakázky, od 1.5. zaměstnanec který bude dohlížet na zpracování strategie</w:t>
            </w:r>
          </w:p>
        </w:tc>
      </w:tr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1.3 Rozvoj ploch pro podnikání a bydlení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1.3.2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Regenerace sídlišť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Regenerace sídlišť – Jihovýchod, Větrná hůrka, Bažantnice.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50 000 000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 - SFRB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 - v červnu bude podána žádost o dotaci.</w:t>
            </w:r>
          </w:p>
        </w:tc>
      </w:tr>
      <w:tr w:rsidR="000F3E01">
        <w:trPr>
          <w:trHeight w:val="3812"/>
        </w:trPr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1.3.3</w:t>
            </w:r>
          </w:p>
        </w:tc>
        <w:tc>
          <w:tcPr>
            <w:tcW w:w="3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 xml:space="preserve">Lokalita Výhon - technická a dopravní </w:t>
            </w:r>
          </w:p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infrastruktura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2018-2020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 xml:space="preserve">Zasíťování lokality Výhon - obytná </w:t>
            </w:r>
          </w:p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lokalita.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200 000 000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 - OPŽP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 xml:space="preserve"> V tuto chvíli řešeny 3 dílčí záležitosti: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-  Nový regulační plán pro celou lokalitu, v rámci něhož je prověřována do budoucna možnost zástavby i v části přiléhající k železničnímu koridoru a rovněž je aktualizováno trasování dopravní a technické infrastruktury -  v tuto chvíli probíhá dokončování návrhu pro společné jednání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-  0. etapa – dešťová kanalizace z lokality Výhon včetně retenční nádrže a bezpečnostního přepadu – v tuto chvíli běží územní řízení – předpoklad možné realizace je v roce 2019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- 1. etapa – tzv. „horní“ komunikace včetně provázání nezbytných inženýrských sítí – v tuto chvíli probíhá dopracování projektové dokumentace pro územní rozhodnutí – předpoklad možné realizace je v roce 2020</w:t>
            </w:r>
          </w:p>
        </w:tc>
      </w:tr>
    </w:tbl>
    <w:p w:rsidR="000F3E01" w:rsidRDefault="000F3E01"/>
    <w:p w:rsidR="000F3E01" w:rsidRDefault="000F3E01"/>
    <w:tbl>
      <w:tblPr>
        <w:tblW w:w="15325" w:type="dxa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0"/>
        <w:gridCol w:w="3670"/>
        <w:gridCol w:w="709"/>
        <w:gridCol w:w="3118"/>
        <w:gridCol w:w="1276"/>
        <w:gridCol w:w="993"/>
        <w:gridCol w:w="1275"/>
        <w:gridCol w:w="3544"/>
      </w:tblGrid>
      <w:tr w:rsidR="000F3E01">
        <w:trPr>
          <w:trHeight w:val="300"/>
        </w:trPr>
        <w:tc>
          <w:tcPr>
            <w:tcW w:w="441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lastRenderedPageBreak/>
              <w:t>1.4 Stabilizace finančních zdrojů města</w:t>
            </w: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8CCE4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127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1.4.1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Zpracování každoročních finančních analýz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Každoroční zpracování finančních analýz s budoucím detailním výhledem na 4 až 5 let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250 000</w:t>
            </w:r>
          </w:p>
        </w:tc>
        <w:tc>
          <w:tcPr>
            <w:tcW w:w="9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Řešeno průběžně - zpracováváno interně v rámci zpracování závěrečného účtu, vč. prezentace, výhledu na 4 roky vč. průběžné aktualizace</w:t>
            </w:r>
          </w:p>
        </w:tc>
      </w:tr>
    </w:tbl>
    <w:p w:rsidR="000F3E01" w:rsidRDefault="000F3E01">
      <w:pPr>
        <w:suppressAutoHyphens w:val="0"/>
      </w:pPr>
    </w:p>
    <w:p w:rsidR="000F3E01" w:rsidRDefault="000F3E01">
      <w:pPr>
        <w:pageBreakBefore/>
      </w:pPr>
    </w:p>
    <w:tbl>
      <w:tblPr>
        <w:tblW w:w="15325" w:type="dxa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0"/>
        <w:gridCol w:w="3670"/>
        <w:gridCol w:w="709"/>
        <w:gridCol w:w="3118"/>
        <w:gridCol w:w="1276"/>
        <w:gridCol w:w="992"/>
        <w:gridCol w:w="1276"/>
        <w:gridCol w:w="3544"/>
      </w:tblGrid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2.1 Budování a rekonstrukce dopravní infrastruktury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178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2.1.1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Obnova uličních prostor v centrální části města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Obnovy uličních prostor zejména v těchto ulicích - Sadová, Dukelských hrdinů (IaÚ), Měšťanská, Dobrovolského, Tyršova, Jánošíkova, Radniční, Miličova, Kolískova (ORM).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50 000 000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SFDI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 w:rsidP="004A04D2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přípravě: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Sadová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Dukelských hrdinů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Měšťanská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Dobrovolského - podána žádost o dotaci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Jánošíkova</w:t>
            </w:r>
          </w:p>
        </w:tc>
      </w:tr>
      <w:tr w:rsidR="000F3E01">
        <w:trPr>
          <w:trHeight w:val="175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2.1.3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Okružní křižovatka u Galerie výtvarných umění výtvarných umění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2017-2020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Úprava nevhodného křížení místních komunikací s komunikací krajskou u Galerie výtvarných umění. komunikací krajskou u Galerie výtvarných umění.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15 000 000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Rozpočet JMK, dotace EU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 xml:space="preserve">V přípravě - probíhá finalizace projektové dokumentace pro územní rozhodnutí. Předpoklad podání žádosti o územní rozhodnutí je ve 2. čtvrtletí 2018. Možná realizace nejdříve 2020 – nutno řešit s JMK. </w:t>
            </w:r>
          </w:p>
        </w:tc>
      </w:tr>
      <w:tr w:rsidR="000F3E01">
        <w:trPr>
          <w:trHeight w:val="102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2.1.4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Podpora vybudování obchvatu Hodonína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Podpora vybudování obchvatu Hodonína v návaznosti na aktualizaci koncepce dopravy.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1 500 000 000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ČR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řešení - probíhají jednání s ŘSD ČR o možném obnovení prací na obchvatu. Nutné prokázání potřebnosti této investiční akce</w:t>
            </w:r>
          </w:p>
        </w:tc>
      </w:tr>
      <w:tr w:rsidR="000F3E01">
        <w:trPr>
          <w:trHeight w:val="300"/>
        </w:trPr>
        <w:tc>
          <w:tcPr>
            <w:tcW w:w="5119" w:type="dxa"/>
            <w:gridSpan w:val="3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2.2 Rozvoj dopravy v klidu a optimalizace veřejné dopravy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102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2.2.1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Implementace koncepce statické dopravy v centru města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2017-2018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Implementace schválené koncepce včetně využití stávajících parkovacích ploch (koncepce schválena v říjnu 2017 radou města)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120 000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Implementace prozatím pouze částečná, dle možností města</w:t>
            </w:r>
          </w:p>
        </w:tc>
      </w:tr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2.3 Rozvoj nemotorové dopravy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2.3.1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Parkovací dům pro kola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2017-2018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Parkovací dům pro kola u vlakového nádraží.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11 360 000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 - IROP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realizaci - termín dokončení březen 2018</w:t>
            </w:r>
          </w:p>
        </w:tc>
      </w:tr>
      <w:tr w:rsidR="000F3E01">
        <w:trPr>
          <w:trHeight w:val="127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lastRenderedPageBreak/>
              <w:t>2.3.2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Přemostění I/55 lávkou pro pěší a cyklisty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2018-2019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Přemostění lávkou komunikace I/55 u ZOO Hodonín.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 xml:space="preserve">V řešení - běží projekční práce na dopracování projektové dokumentace pro územní rozhodnutí. Předpoklad možné realizace je v roce 2020. 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2.3.3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Výstavba (propojení) městské sítě cyklostezek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Nové cyklostezky.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řešení - řeší se koncepce cyklodopravy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2.3.4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Cyklostezka Hodonín - Dubňany II.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2017-2018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Nové cyklostezky, předpokládané dokončení v roce 2017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5 500 000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JmK a rozpočet MěÚ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Splněno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2.3.6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Cyklostezka Hodonín - Ratíškovice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Nové cyklostezky.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Schválena dotace pro město Ratiškovice ve výši 2 mil. Kč</w:t>
            </w:r>
          </w:p>
        </w:tc>
      </w:tr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2.4 Rozvoj odpadového hospodářství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76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2.4.3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Zlepšení třídění odpadů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Rozšíření a zkvalitnění možností pro separaci odpadů ve městě.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Řešeno průběžně - pořízeny nové kontejnery na efektivnější třídění odpadů</w:t>
            </w:r>
          </w:p>
        </w:tc>
      </w:tr>
      <w:tr w:rsidR="000F3E01">
        <w:trPr>
          <w:trHeight w:val="300"/>
        </w:trPr>
        <w:tc>
          <w:tcPr>
            <w:tcW w:w="5119" w:type="dxa"/>
            <w:gridSpan w:val="3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2.5 Údržba a revitalizace veřejné zeleně a veřejného prostranství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127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2.5.1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Obnova stávajících parků a zakládání nových parků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Park Sadová, park Mírové náměstí a Cigánka. Dále rozšíření Lázeňského parku, park v ulici Legionářů u břehu starého ramene řeky Moravy včetně využití dešťové vody v parcích.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Částečně v realizaci: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Sadová - obnova parku</w:t>
            </w:r>
          </w:p>
        </w:tc>
      </w:tr>
      <w:tr w:rsidR="000F3E01">
        <w:trPr>
          <w:trHeight w:val="82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2.5.5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Protipovodňová opatření v lokalitě Očovské louky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2019-2020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Protipovodňová ochrana části města Očovské louky.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řešení - předáno na IaÚ, mělo být žádáno o stavební povolení</w:t>
            </w:r>
          </w:p>
        </w:tc>
      </w:tr>
      <w:tr w:rsidR="000F3E01">
        <w:trPr>
          <w:trHeight w:val="127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2.5.6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Protipovodňová opatření průmyslové zóny (západní část)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2019-2022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Protipovodňová ochrana průmyslové zóny západně od ulice Bratislavská a zastavěného území podél městského ramene řeky Moravy nad vtokovým objektem do elektrárny.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60 000 000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řešení - OM musí řešit nevypořádané pozemky s majiteli</w:t>
            </w:r>
          </w:p>
        </w:tc>
      </w:tr>
      <w:tr w:rsidR="000F3E01">
        <w:trPr>
          <w:trHeight w:val="76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2.5.7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Protipovodňová opatření u nákupního centra "Cukrovar"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Retenční nádrž mezi vlakovým nádražím a cukrovarem vč. doprovodné infrastruktury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14 000 000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 - OPŽP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řešení - předáno IaÚ, ze strany ORM za-projektováno a územně povoleno</w:t>
            </w:r>
          </w:p>
        </w:tc>
      </w:tr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lastRenderedPageBreak/>
              <w:t>2.6 Odstranění/využití brownfields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8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4" w:type="dxa"/>
            <w:tcBorders>
              <w:bottom w:val="single" w:sz="4" w:space="0" w:color="000000"/>
            </w:tcBorders>
            <w:shd w:val="clear" w:color="auto" w:fill="C4D79B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102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2.6.1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Revitalizace areálu bývalých Velkých kasáren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Zasíťování pozemků, obnova komunikací, chodníků, inženýrských sítí, zeleně.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 - OPŽP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 - zpracovává se projektová dokumentace pro územní rozhodnutí na akci „Ul. Smetanova, Hodonín“</w:t>
            </w:r>
          </w:p>
        </w:tc>
      </w:tr>
      <w:tr w:rsidR="000F3E01">
        <w:trPr>
          <w:trHeight w:val="153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2.6.2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Regenerace brownfields (marketingová studie)</w:t>
            </w:r>
          </w:p>
        </w:tc>
        <w:tc>
          <w:tcPr>
            <w:tcW w:w="70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2017-2022</w:t>
            </w:r>
          </w:p>
        </w:tc>
        <w:tc>
          <w:tcPr>
            <w:tcW w:w="311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Marketingová studie - zmapování brownfields v Hodoníně. Při přípravě a realizaci aktivity je vhodné spolupracovat s Regionální rozvojovou agenturou Jižní Moravy.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</w:t>
            </w:r>
          </w:p>
        </w:tc>
        <w:tc>
          <w:tcPr>
            <w:tcW w:w="354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 xml:space="preserve">V řešení - obdobnou záležitostí – katalog investičních příležitostí pro celou JMK– plánuje agentura Czechinvest. Město Hodonín dává ke vzniku tohoto katalogu maximální součinnost. </w:t>
            </w:r>
          </w:p>
        </w:tc>
      </w:tr>
    </w:tbl>
    <w:p w:rsidR="000F3E01" w:rsidRDefault="000F3E01">
      <w:pPr>
        <w:suppressAutoHyphens w:val="0"/>
      </w:pPr>
    </w:p>
    <w:p w:rsidR="000F3E01" w:rsidRDefault="000F3E01">
      <w:pPr>
        <w:pageBreakBefore/>
        <w:suppressAutoHyphens w:val="0"/>
      </w:pPr>
    </w:p>
    <w:tbl>
      <w:tblPr>
        <w:tblW w:w="15324" w:type="dxa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0"/>
        <w:gridCol w:w="3670"/>
        <w:gridCol w:w="708"/>
        <w:gridCol w:w="3119"/>
        <w:gridCol w:w="1276"/>
        <w:gridCol w:w="992"/>
        <w:gridCol w:w="1276"/>
        <w:gridCol w:w="3543"/>
      </w:tblGrid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3.1 Zlepšení bezpečnosti ve městě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178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3.1.1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Modernizace kamerových bodů městského kamerového systému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2017-2019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Výměna analogových kamerových bodů za digitální.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2 500 000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MV ČR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řešení: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2017 - výměna 3 kamerových bodů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2018 - podepsána smlouva na dodání dalších 4 kamerových bodů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- podána žádost o dotaci na další kamerový bod, v případě získání realizace ještě v roce 2018</w:t>
            </w:r>
          </w:p>
        </w:tc>
      </w:tr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3.2 Dostupné sociální služby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102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3.2.1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Rozvoj kompetencí k začleňování ohrožených skupin v ORP Hodonín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2016-2018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Tvorba platformy spolupráce VES a dalších organizací působících v sociální či zdravotní oblasti ve správním obvodu ORP Hodonín.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1 661 152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realizaci - ukončení projektu 31.8.2018</w:t>
            </w:r>
          </w:p>
        </w:tc>
      </w:tr>
      <w:tr w:rsidR="000F3E01">
        <w:trPr>
          <w:trHeight w:val="102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3.2.2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Podpora sociální práce v obci s rozšířenou působností Hodonín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2017-2019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Zvýšení dostupnosti sociální práce klientům a její profesionalizace v rámci výkonu sociální práce v přenesené působnosti.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3 709 098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realizaci - ukončení projektu 28.2.2019</w:t>
            </w:r>
          </w:p>
        </w:tc>
      </w:tr>
      <w:tr w:rsidR="000F3E01">
        <w:trPr>
          <w:trHeight w:val="153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3.2.3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Podpora procesu plánování sociálních služeb na obecní úrovni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2017-2019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Aktivity spadající do oblasti komunitního plánování sociálních služeb a souvisejících činností, a to převážně v oblasti ORP Hodonín, částečně pak také na širším území bývalého okresu Hodonín.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2 077 900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realizaci - ukončení projektu 31.7.2019</w:t>
            </w:r>
          </w:p>
        </w:tc>
      </w:tr>
      <w:tr w:rsidR="000F3E01">
        <w:trPr>
          <w:trHeight w:val="178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3.2.4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Zachování potřebných kapacit sociálních služeb zajištěním jejich spolufinancování se spádovými obcemi ORP Hodonín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2017-2020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Zahájení sociálního podnikání v Hodoníně, resp. vznik sociálního podniku se zaměstnáváním osob se zdravotním znevýhodněním.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6 200 00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Průběžně realizováno - spolufinancování registrovaných sociálních služeb se spádovými obcemi probíhá na základě osobního jednání na pravidelných poradách se starosty spádových obcí.</w:t>
            </w:r>
          </w:p>
        </w:tc>
      </w:tr>
    </w:tbl>
    <w:p w:rsidR="000F3E01" w:rsidRDefault="000F3E01"/>
    <w:p w:rsidR="000F3E01" w:rsidRDefault="000F3E01"/>
    <w:tbl>
      <w:tblPr>
        <w:tblW w:w="15324" w:type="dxa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0"/>
        <w:gridCol w:w="3670"/>
        <w:gridCol w:w="708"/>
        <w:gridCol w:w="3119"/>
        <w:gridCol w:w="1276"/>
        <w:gridCol w:w="992"/>
        <w:gridCol w:w="1382"/>
        <w:gridCol w:w="3543"/>
      </w:tblGrid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3.3 Podpora vzdělanosti obyvatel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76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3.3.1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Zkvalitnění a zlepšení výuky na MŠ a ZŠ v Hodoníně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2018-2022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Zvýšení kvality výuky na MŠ a ZŠ zajištěním nových výukových metod a pořízením učebních pomůcek.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25 000 000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Hledání vhodného dotačního titulu</w:t>
            </w:r>
          </w:p>
        </w:tc>
      </w:tr>
      <w:tr w:rsidR="000F3E01">
        <w:trPr>
          <w:trHeight w:val="102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3.3.2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Dopravní hřiště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2018-2019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Dopravní hřiště v rámci dopravní výchovy pro účely vzdělávání v rámci Hodonína i spádových obcí.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spolufinancování JMK, nadace ČEZ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 - zpracovává se projektová dokumentace pro územní rozhodnutí na akci „Dopravní hřiště Hodonín“</w:t>
            </w:r>
          </w:p>
        </w:tc>
      </w:tr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3.4 Rozvoj kultury a sportu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382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CCC0D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3.4.1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Rekonstrukce krytého plaveckého bazénu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Rekonstrukce stávajícího krytého bazénu, dokončeno v říjnu 2017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98 000 000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98 000 000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Splněno</w:t>
            </w:r>
          </w:p>
        </w:tc>
      </w:tr>
      <w:tr w:rsidR="000F3E01">
        <w:trPr>
          <w:trHeight w:val="102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3.4.2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Parkoviště pro koupaliště a krytý bazén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2018-2019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Parkoviště pro koupaliště a krytý bazén.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38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řešení - připravuje se projektová dokumentace pro územní řízení, předpokládaný termín dokončení dokumentace září 2018</w:t>
            </w:r>
          </w:p>
        </w:tc>
      </w:tr>
    </w:tbl>
    <w:p w:rsidR="000F3E01" w:rsidRDefault="000F3E01">
      <w:pPr>
        <w:suppressAutoHyphens w:val="0"/>
      </w:pPr>
    </w:p>
    <w:p w:rsidR="000F3E01" w:rsidRDefault="000F3E01">
      <w:pPr>
        <w:pageBreakBefore/>
        <w:suppressAutoHyphens w:val="0"/>
      </w:pPr>
    </w:p>
    <w:tbl>
      <w:tblPr>
        <w:tblW w:w="15324" w:type="dxa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"/>
        <w:gridCol w:w="3649"/>
        <w:gridCol w:w="708"/>
        <w:gridCol w:w="3119"/>
        <w:gridCol w:w="1276"/>
        <w:gridCol w:w="992"/>
        <w:gridCol w:w="1276"/>
        <w:gridCol w:w="3543"/>
      </w:tblGrid>
      <w:tr w:rsidR="000F3E01">
        <w:trPr>
          <w:trHeight w:val="300"/>
        </w:trPr>
        <w:tc>
          <w:tcPr>
            <w:tcW w:w="5118" w:type="dxa"/>
            <w:gridSpan w:val="3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4.1 Podpora propagace a řízení v oblasti cestovního ruchu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1275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4.1.1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Průzkum požadavků skupin návštěvníků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2017-2018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Zjištění potřeb a požadavků skupin návštěvníků a následně umožní dosažení rozvoje cestovního ruchu ve městě Hodoníně včetně zadání směru koncepce cestovního ruchu.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realizaci - dotazník dokončen, během jara 2017 bude dán do oběhu</w:t>
            </w:r>
          </w:p>
        </w:tc>
      </w:tr>
      <w:tr w:rsidR="000F3E01">
        <w:trPr>
          <w:trHeight w:val="1020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4.1.2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Koncepce cestovního ruchu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2017-2018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Koncepce cestovního ruchu je spojena s vytvořením a podporou cestovního ruchu.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 - zpracovává se zadání veřejné zakázky, od 1.5. zaměstnanec který bude dohlížet na zpracování strategie</w:t>
            </w:r>
          </w:p>
        </w:tc>
      </w:tr>
      <w:tr w:rsidR="000F3E01">
        <w:trPr>
          <w:trHeight w:val="765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4.1.3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Značka "TGM" jako "trade mark" města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2017-2018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Propagace Hodonína přes pojem TGM.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 :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"Stoletím spojeni" - žádost o dotaci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Masarykova stezka</w:t>
            </w:r>
          </w:p>
        </w:tc>
      </w:tr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4.2 Rozvoj infrastruktury a služeb v cestovním ruchu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1785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4.2.2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Podpora realizace splavení řeky Moravy včetně vybudování infrastruktury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2017-2025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Vybudování vnitro-městského přístavu pro malá plavidla. Město Hodonín poskytuje součinnost ŘVC při vypracování studie, která řeší využití starého koryta řeky Moravy. V případě realizace bude nutné vybudovat potřebnou infrastrukturu.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330 000 000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ČR, Rozpočet MěÚ, dotace EU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řešení - probíhá šetření a příprava, EIA vč. včetně debaty o umístění přístavního doku na pravobřežní straně Staré Moravy.</w:t>
            </w:r>
          </w:p>
        </w:tc>
      </w:tr>
      <w:tr w:rsidR="000F3E01">
        <w:trPr>
          <w:trHeight w:val="2805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4.2.3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Zabezpečení infrastruktury a služeb atd. po realizaci plavební komory Rohatec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2018-2019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Vybudování potřebné infrastruktury a služeb včetně příjezdové komunikace.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6 700 000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řešení: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- příjezdová komunikace, objekt SO.01 - vydáno pravomocné územní rozhodnutí, čeká se na stavební povolení, podána žádost o dotaci a čeká se na schválení, realizace v případě schválení 2019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- příjezdová komunikace, objekt SO.02 - projektová dokumentace, žádost o dotaci v přípravě předpoklad podání podzim 2018</w:t>
            </w:r>
          </w:p>
        </w:tc>
      </w:tr>
      <w:tr w:rsidR="000F3E01">
        <w:trPr>
          <w:trHeight w:val="1020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lastRenderedPageBreak/>
              <w:t>4.2.4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Mobiliář ve stávající lokalitě U Jezu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2017-2018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Instalace potřebného příslušenství v lokalitě U Jezu.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1 000 000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 - zpracována studie, hledán vhodný dotační titul, možný termín podání žádosti o dotaci je podzim 2018</w:t>
            </w:r>
          </w:p>
        </w:tc>
      </w:tr>
      <w:tr w:rsidR="000F3E01">
        <w:trPr>
          <w:trHeight w:val="1530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4.2.5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Zajištění léčivé vody z nové zdrojové oblasti pro Lázně Hodonín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2018-2022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Vyhledání nového zdroje s balneologickým vrtem.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60 000 000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EU, externí zdroje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řešení - probíhají jednání s geology MND a.s. a Nafta a.s.  o vhodnost geologických zásob léčivé vody ze zvodní ve strukturách lábského obzoru. Vyhledávání použitelného dotačního titulu.</w:t>
            </w:r>
          </w:p>
        </w:tc>
      </w:tr>
      <w:tr w:rsidR="000F3E01">
        <w:trPr>
          <w:trHeight w:val="1275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4.2.7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Modernizace a rozšíření Zoo Hodonín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2018-2022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Modernizace a rozšíření stávající části Zoo v Hodoníně, zvýšení kapacity návštěvnosti, druhové skladby chovaných živočišných druhů, propojení na přilehlý les "Důbrava".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325 000 000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Program INTEREG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 - podána žádost o dotaci</w:t>
            </w:r>
          </w:p>
        </w:tc>
      </w:tr>
      <w:tr w:rsidR="000F3E01">
        <w:trPr>
          <w:trHeight w:val="1020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4.2.10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Parkovací domy a plochy v Hodoníně pro nové parkovací místa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2017-2022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Vytvoření dostatku parkovacích míst pro návštěvníky Hodonína.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60 000 000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Financování z rozpočtu města, EU fondů i státních fondů, případně fondů pro rozvoj dopravy a soukromý sektor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řešení - v roce 2017 vydáno územní rozhodnutí i stavební povolení na akci „Hodonín - parkování Okružní“</w:t>
            </w:r>
          </w:p>
        </w:tc>
      </w:tr>
      <w:tr w:rsidR="000F3E01">
        <w:trPr>
          <w:trHeight w:val="2550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4.2.12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Toulky po naftovém příhraničí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2017-2019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Společně s městem Gbely vytvořit systém ukazovníků, mapu, webovou aplikaci a infocentrum, které budou zpracovávat a prezentovat tři oblasti - naftařinu, technické památky a geologické lokality Vídeňské pánve - (Hodonínsko,Břeclavsko, Kyjovsko, Záhoří).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6 604 250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Interreg V-A Slovenská republika - Česká republika, vlastní zdroje, dárci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realizaci: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- I. Etapa - Vybudování Kontaktního turistického centra, předpokládaný termín dokončení červen 2018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- od dubna 2018 v plánu zpracovávání lokalit a témat naftařiny, techniky a geologie regionu</w:t>
            </w: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br/>
              <w:t>- II. Etapa - Vybavení  Kontaktního turistického centra od dubna 2018</w:t>
            </w:r>
          </w:p>
        </w:tc>
      </w:tr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4.3 Podpora místní a mezinárodní spolupráce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92CDDC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765"/>
        </w:trPr>
        <w:tc>
          <w:tcPr>
            <w:tcW w:w="76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4.3.1</w:t>
            </w:r>
          </w:p>
        </w:tc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Podpora destinační agentury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2017-2018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i/>
                <w:iCs/>
                <w:color w:val="000000"/>
                <w:sz w:val="18"/>
                <w:szCs w:val="20"/>
                <w:lang w:eastAsia="cs-CZ"/>
              </w:rPr>
              <w:t>Podpora činnosti destinační agentury, která by měla oporu ve vytvořené koncepci cestovního ruchu.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bude stanoveno při přípravě aktivity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right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MAS, Rozpočet MěÚ, dotace EU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 - mapován Slováckého regionu s důrazem na turismus</w:t>
            </w:r>
          </w:p>
        </w:tc>
      </w:tr>
    </w:tbl>
    <w:p w:rsidR="000F3E01" w:rsidRDefault="000F3E01">
      <w:pPr>
        <w:suppressAutoHyphens w:val="0"/>
      </w:pPr>
    </w:p>
    <w:tbl>
      <w:tblPr>
        <w:tblW w:w="15324" w:type="dxa"/>
        <w:tblInd w:w="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0"/>
        <w:gridCol w:w="3670"/>
        <w:gridCol w:w="708"/>
        <w:gridCol w:w="3119"/>
        <w:gridCol w:w="1276"/>
        <w:gridCol w:w="992"/>
        <w:gridCol w:w="1276"/>
        <w:gridCol w:w="3543"/>
      </w:tblGrid>
      <w:tr w:rsidR="000F3E01">
        <w:trPr>
          <w:trHeight w:val="300"/>
        </w:trPr>
        <w:tc>
          <w:tcPr>
            <w:tcW w:w="4410" w:type="dxa"/>
            <w:gridSpan w:val="2"/>
            <w:tcBorders>
              <w:bottom w:val="single" w:sz="4" w:space="0" w:color="000000"/>
            </w:tcBorders>
            <w:shd w:val="clear" w:color="auto" w:fill="FABF8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5.1 Posílení komunikace veřejné správy s občany</w:t>
            </w:r>
          </w:p>
        </w:tc>
        <w:tc>
          <w:tcPr>
            <w:tcW w:w="708" w:type="dxa"/>
            <w:tcBorders>
              <w:bottom w:val="single" w:sz="4" w:space="0" w:color="000000"/>
            </w:tcBorders>
            <w:shd w:val="clear" w:color="auto" w:fill="FABF8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119" w:type="dxa"/>
            <w:tcBorders>
              <w:bottom w:val="single" w:sz="4" w:space="0" w:color="000000"/>
            </w:tcBorders>
            <w:shd w:val="clear" w:color="auto" w:fill="FABF8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ABF8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FABF8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ABF8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  <w:tc>
          <w:tcPr>
            <w:tcW w:w="3543" w:type="dxa"/>
            <w:tcBorders>
              <w:bottom w:val="single" w:sz="4" w:space="0" w:color="000000"/>
            </w:tcBorders>
            <w:shd w:val="clear" w:color="auto" w:fill="FABF8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cs-CZ"/>
              </w:rPr>
              <w:t> </w:t>
            </w:r>
          </w:p>
        </w:tc>
      </w:tr>
      <w:tr w:rsidR="000F3E01">
        <w:trPr>
          <w:trHeight w:val="51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Číslo aktivity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Název aktivity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Termín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Popis aktivity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Náklady dle SP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Skutečné náklady vč. částečných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Zdroj financování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EEECE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F3E01" w:rsidRDefault="00C32173">
            <w:pPr>
              <w:suppressAutoHyphens w:val="0"/>
              <w:spacing w:after="0" w:line="240" w:lineRule="auto"/>
              <w:textAlignment w:val="auto"/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szCs w:val="20"/>
                <w:lang w:eastAsia="cs-CZ"/>
              </w:rPr>
              <w:t>Rozpracovanost</w:t>
            </w:r>
          </w:p>
        </w:tc>
      </w:tr>
      <w:tr w:rsidR="000F3E01">
        <w:trPr>
          <w:trHeight w:val="765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5.1.1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Posouzení strategického plánu z hlediska vlivů na životní prostředí a na zdraví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2017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Posouzení Strategického plánu rozvoje z hlediska vlivů na životní prostředí a na zdraví, zrealizováno v roce 2017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30 000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Splněno</w:t>
            </w:r>
          </w:p>
        </w:tc>
      </w:tr>
      <w:tr w:rsidR="000F3E01">
        <w:trPr>
          <w:trHeight w:val="1020"/>
        </w:trPr>
        <w:tc>
          <w:tcPr>
            <w:tcW w:w="7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5.1.4</w:t>
            </w:r>
          </w:p>
        </w:tc>
        <w:tc>
          <w:tcPr>
            <w:tcW w:w="367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Otevřený úřad (Hodonín v datech)</w:t>
            </w:r>
          </w:p>
        </w:tc>
        <w:tc>
          <w:tcPr>
            <w:tcW w:w="70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2018-2022</w:t>
            </w:r>
          </w:p>
        </w:tc>
        <w:tc>
          <w:tcPr>
            <w:tcW w:w="311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Sběr dat o městě, jejich vyhodnocení směřující k podpoře rozvoje města včetně rozvoje multimediální komunikace města s občany.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400 000</w:t>
            </w:r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 </w:t>
            </w:r>
          </w:p>
        </w:tc>
        <w:tc>
          <w:tcPr>
            <w:tcW w:w="127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Rozpočet MěÚ, dotace EU</w:t>
            </w:r>
          </w:p>
        </w:tc>
        <w:tc>
          <w:tcPr>
            <w:tcW w:w="35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0F3E01" w:rsidRDefault="00C32173">
            <w:pPr>
              <w:suppressAutoHyphens w:val="0"/>
              <w:spacing w:after="0" w:line="240" w:lineRule="auto"/>
              <w:jc w:val="both"/>
              <w:textAlignment w:val="auto"/>
              <w:rPr>
                <w:rFonts w:eastAsia="Times New Roman"/>
                <w:color w:val="000000"/>
                <w:sz w:val="18"/>
                <w:szCs w:val="20"/>
                <w:lang w:eastAsia="cs-CZ"/>
              </w:rPr>
            </w:pPr>
            <w:r>
              <w:rPr>
                <w:rFonts w:eastAsia="Times New Roman"/>
                <w:color w:val="000000"/>
                <w:sz w:val="18"/>
                <w:szCs w:val="20"/>
                <w:lang w:eastAsia="cs-CZ"/>
              </w:rPr>
              <w:t>V přípravě - zpracovává se zadání veřejné zakázky</w:t>
            </w:r>
          </w:p>
        </w:tc>
      </w:tr>
    </w:tbl>
    <w:p w:rsidR="000F3E01" w:rsidRDefault="000F3E01"/>
    <w:p w:rsidR="000F3E01" w:rsidRDefault="000F3E01"/>
    <w:p w:rsidR="000F3E01" w:rsidRDefault="00C32173">
      <w:r>
        <w:t>Z celkového počtu 82 aktivit vyplývajících ze strategického plánu je aktuálně 40 aktivit v řešení, a 3 aktivity jsou zcela splněny.</w:t>
      </w:r>
    </w:p>
    <w:p w:rsidR="000F3E01" w:rsidRDefault="000F3E01"/>
    <w:p w:rsidR="000F3E01" w:rsidRDefault="00C32173">
      <w:r>
        <w:rPr>
          <w:b/>
          <w:noProof/>
          <w:u w:val="single"/>
          <w:lang w:eastAsia="cs-CZ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2542</wp:posOffset>
            </wp:positionH>
            <wp:positionV relativeFrom="paragraph">
              <wp:posOffset>1271</wp:posOffset>
            </wp:positionV>
            <wp:extent cx="4572000" cy="2743200"/>
            <wp:effectExtent l="0" t="0" r="0" b="0"/>
            <wp:wrapTight wrapText="bothSides">
              <wp:wrapPolygon edited="0">
                <wp:start x="0" y="0"/>
                <wp:lineTo x="0" y="21600"/>
                <wp:lineTo x="21600" y="21600"/>
                <wp:lineTo x="21600" y="0"/>
                <wp:lineTo x="0" y="0"/>
              </wp:wrapPolygon>
            </wp:wrapTight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>
        <w:rPr>
          <w:b/>
          <w:u w:val="single"/>
        </w:rPr>
        <w:t>Splněno:</w:t>
      </w:r>
    </w:p>
    <w:p w:rsidR="000F3E01" w:rsidRDefault="00C32173">
      <w:r>
        <w:t>2.3.4</w:t>
      </w:r>
      <w:r>
        <w:tab/>
        <w:t>Cyklostezka Hodonín - Dubňany II.</w:t>
      </w:r>
    </w:p>
    <w:p w:rsidR="000F3E01" w:rsidRDefault="00C32173">
      <w:r>
        <w:t>3.4.1</w:t>
      </w:r>
      <w:r>
        <w:tab/>
        <w:t>Rekonstrukce krytého plaveckého bazénu</w:t>
      </w:r>
    </w:p>
    <w:p w:rsidR="000F3E01" w:rsidRDefault="00C32173">
      <w:r>
        <w:t>5.1.1</w:t>
      </w:r>
      <w:r>
        <w:tab/>
        <w:t>Posouzení strategického plánu z hlediska vlivů na životní prostředí a na zdraví</w:t>
      </w:r>
    </w:p>
    <w:p w:rsidR="000F3E01" w:rsidRDefault="000F3E01">
      <w:pPr>
        <w:pageBreakBefore/>
        <w:suppressAutoHyphens w:val="0"/>
        <w:rPr>
          <w:b/>
        </w:rPr>
      </w:pPr>
    </w:p>
    <w:p w:rsidR="000F3E01" w:rsidRDefault="00C32173">
      <w:pPr>
        <w:spacing w:after="0"/>
        <w:jc w:val="center"/>
        <w:rPr>
          <w:b/>
        </w:rPr>
      </w:pPr>
      <w:r>
        <w:rPr>
          <w:b/>
        </w:rPr>
        <w:t>AKČNÍ PLÁN</w:t>
      </w:r>
    </w:p>
    <w:p w:rsidR="000F3E01" w:rsidRDefault="00C32173">
      <w:pPr>
        <w:spacing w:after="0"/>
        <w:jc w:val="center"/>
        <w:rPr>
          <w:b/>
        </w:rPr>
      </w:pPr>
      <w:r>
        <w:rPr>
          <w:b/>
        </w:rPr>
        <w:t>2017 -2019</w:t>
      </w:r>
    </w:p>
    <w:p w:rsidR="000F3E01" w:rsidRDefault="000F3E01"/>
    <w:p w:rsidR="000F3E01" w:rsidRDefault="00C32173">
      <w:r>
        <w:t>Tabulka aktivit, u nichž prozatím nebyly činěny úkony k naplnění:</w:t>
      </w:r>
    </w:p>
    <w:tbl>
      <w:tblPr>
        <w:tblW w:w="1485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84"/>
        <w:gridCol w:w="6521"/>
        <w:gridCol w:w="1317"/>
        <w:gridCol w:w="1215"/>
        <w:gridCol w:w="1215"/>
        <w:gridCol w:w="3198"/>
      </w:tblGrid>
      <w:tr w:rsidR="000F3E01">
        <w:trPr>
          <w:trHeight w:val="300"/>
        </w:trPr>
        <w:tc>
          <w:tcPr>
            <w:tcW w:w="148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Strategický cíl č. 1 Podporovat ekonomický rozvoj města</w:t>
            </w:r>
          </w:p>
        </w:tc>
      </w:tr>
      <w:tr w:rsidR="000F3E01">
        <w:trPr>
          <w:trHeight w:val="30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Opatření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 aktivity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</w:tr>
      <w:tr w:rsidR="000F3E01">
        <w:trPr>
          <w:trHeight w:val="300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2019</w:t>
            </w: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</w:tr>
      <w:tr w:rsidR="000F3E01">
        <w:trPr>
          <w:trHeight w:val="61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1.1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Zmapovat potřeby zaměstnavatelů na vzdělání a</w:t>
            </w:r>
          </w:p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kvalifikaci pracovníků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100 000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</w:t>
            </w:r>
          </w:p>
        </w:tc>
      </w:tr>
      <w:tr w:rsidR="000F3E01">
        <w:trPr>
          <w:trHeight w:val="543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1.1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Vytvořit systém komunikace mezi podnikateli, Úřadem práce, Hospodářskou komorou, podnikatelskými centry a školami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50 000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50 000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</w:t>
            </w:r>
          </w:p>
        </w:tc>
      </w:tr>
      <w:tr w:rsidR="000F3E01">
        <w:trPr>
          <w:trHeight w:val="61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1.1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Pravidelné jednání u kulatého</w:t>
            </w:r>
          </w:p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stolu s podnikatelskými subjekty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4 000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4 000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</w:t>
            </w:r>
          </w:p>
        </w:tc>
      </w:tr>
      <w:tr w:rsidR="000F3E01">
        <w:trPr>
          <w:trHeight w:val="30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1.3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Lokalita za nemocnicí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700 000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Hodonín, ORM, IaÚ, OM</w:t>
            </w:r>
          </w:p>
        </w:tc>
      </w:tr>
      <w:tr w:rsidR="000F3E01">
        <w:trPr>
          <w:trHeight w:val="300"/>
        </w:trPr>
        <w:tc>
          <w:tcPr>
            <w:tcW w:w="14850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</w:pPr>
          </w:p>
        </w:tc>
      </w:tr>
      <w:tr w:rsidR="000F3E01">
        <w:trPr>
          <w:trHeight w:val="300"/>
        </w:trPr>
        <w:tc>
          <w:tcPr>
            <w:tcW w:w="148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Strategický cíl č. 2 Podporovat rozvoj infrastruktury a zlepšování životního prostředí3</w:t>
            </w:r>
          </w:p>
        </w:tc>
      </w:tr>
      <w:tr w:rsidR="000F3E01">
        <w:trPr>
          <w:trHeight w:val="30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Opatření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 aktivity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</w:tr>
      <w:tr w:rsidR="000F3E01">
        <w:trPr>
          <w:trHeight w:val="300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2019</w:t>
            </w: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</w:tr>
      <w:tr w:rsidR="000F3E01">
        <w:trPr>
          <w:trHeight w:val="591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2.2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Aktualizace strategického dokumentu koncepce dopravy v Hodoníně včetně následné realizace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300 000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Hodonín, ORM</w:t>
            </w:r>
          </w:p>
        </w:tc>
      </w:tr>
      <w:tr w:rsidR="000F3E01">
        <w:trPr>
          <w:trHeight w:val="30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2.2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Změna systému dopravy ve městě Hodonín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</w:t>
            </w:r>
          </w:p>
        </w:tc>
      </w:tr>
      <w:tr w:rsidR="000F3E01">
        <w:trPr>
          <w:trHeight w:val="30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2.3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Cyklostezka Hodonín - Rohatec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1 000 000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Hodonín, ORM, IaÚ</w:t>
            </w:r>
          </w:p>
        </w:tc>
      </w:tr>
      <w:tr w:rsidR="000F3E01">
        <w:trPr>
          <w:trHeight w:val="30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2.4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Odkanalizování problémových lokalit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19 000 000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20 000 000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Hodonín, OŽP</w:t>
            </w:r>
          </w:p>
        </w:tc>
      </w:tr>
      <w:tr w:rsidR="000F3E01">
        <w:trPr>
          <w:trHeight w:val="244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2.4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Přemístění a zkapacitnění regionálního odpadového centra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400 000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Hodonín, OŽP</w:t>
            </w:r>
          </w:p>
        </w:tc>
      </w:tr>
      <w:tr w:rsidR="000F3E01">
        <w:trPr>
          <w:trHeight w:val="248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2.5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Propagace cenných míst z hlediska ochrany přírody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50 000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</w:t>
            </w:r>
          </w:p>
        </w:tc>
      </w:tr>
      <w:tr w:rsidR="000F3E01">
        <w:trPr>
          <w:trHeight w:val="300"/>
        </w:trPr>
        <w:tc>
          <w:tcPr>
            <w:tcW w:w="138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</w:pPr>
          </w:p>
          <w:p w:rsidR="000F3E01" w:rsidRDefault="000F3E01">
            <w:pPr>
              <w:spacing w:after="0" w:line="240" w:lineRule="auto"/>
            </w:pPr>
          </w:p>
          <w:p w:rsidR="000F3E01" w:rsidRDefault="000F3E01">
            <w:pPr>
              <w:spacing w:after="0" w:line="240" w:lineRule="auto"/>
            </w:pPr>
          </w:p>
          <w:p w:rsidR="000F3E01" w:rsidRDefault="000F3E01">
            <w:pPr>
              <w:spacing w:after="0" w:line="240" w:lineRule="auto"/>
            </w:pPr>
          </w:p>
        </w:tc>
        <w:tc>
          <w:tcPr>
            <w:tcW w:w="1346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</w:pPr>
          </w:p>
        </w:tc>
      </w:tr>
      <w:tr w:rsidR="000F3E01">
        <w:trPr>
          <w:trHeight w:val="300"/>
        </w:trPr>
        <w:tc>
          <w:tcPr>
            <w:tcW w:w="148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A1C7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Strategický cíl č. 3 Zlepšit kvalitu života obyvatel ve městě</w:t>
            </w:r>
          </w:p>
        </w:tc>
      </w:tr>
      <w:tr w:rsidR="000F3E01">
        <w:trPr>
          <w:trHeight w:val="30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Opatření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 aktivity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</w:tr>
      <w:tr w:rsidR="000F3E01">
        <w:trPr>
          <w:trHeight w:val="300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2019</w:t>
            </w: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</w:tr>
      <w:tr w:rsidR="000F3E01">
        <w:trPr>
          <w:trHeight w:val="283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3.5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Vytvořený fond pro stabilizaci počtu obyvatel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1 000 000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</w:t>
            </w:r>
          </w:p>
        </w:tc>
      </w:tr>
      <w:tr w:rsidR="000F3E01">
        <w:trPr>
          <w:trHeight w:val="300"/>
        </w:trPr>
        <w:tc>
          <w:tcPr>
            <w:tcW w:w="14850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</w:pPr>
          </w:p>
        </w:tc>
      </w:tr>
      <w:tr w:rsidR="000F3E01">
        <w:trPr>
          <w:trHeight w:val="300"/>
        </w:trPr>
        <w:tc>
          <w:tcPr>
            <w:tcW w:w="148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CDD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Strategický cíl č. 4 Podporovat rozvoj cestovního ruchu</w:t>
            </w:r>
          </w:p>
        </w:tc>
      </w:tr>
      <w:tr w:rsidR="000F3E01">
        <w:trPr>
          <w:trHeight w:val="30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Opatření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 aktivity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</w:tr>
      <w:tr w:rsidR="000F3E01">
        <w:trPr>
          <w:trHeight w:val="300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2019</w:t>
            </w: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</w:tr>
      <w:tr w:rsidR="000F3E01">
        <w:trPr>
          <w:trHeight w:val="30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4.2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Značení kulturních a turistických cílů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1 500 000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1 500 000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Hodonín, ORM, IaÚ</w:t>
            </w:r>
          </w:p>
        </w:tc>
      </w:tr>
      <w:tr w:rsidR="000F3E01">
        <w:trPr>
          <w:trHeight w:val="300"/>
        </w:trPr>
        <w:tc>
          <w:tcPr>
            <w:tcW w:w="14850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</w:pPr>
          </w:p>
        </w:tc>
      </w:tr>
      <w:tr w:rsidR="000F3E01">
        <w:trPr>
          <w:trHeight w:val="300"/>
        </w:trPr>
        <w:tc>
          <w:tcPr>
            <w:tcW w:w="148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Strategický cíl č. 5 Zapojení veřejnosti do života města</w:t>
            </w:r>
          </w:p>
        </w:tc>
      </w:tr>
      <w:tr w:rsidR="000F3E01">
        <w:trPr>
          <w:trHeight w:val="300"/>
        </w:trPr>
        <w:tc>
          <w:tcPr>
            <w:tcW w:w="1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Opatření</w:t>
            </w:r>
          </w:p>
        </w:tc>
        <w:tc>
          <w:tcPr>
            <w:tcW w:w="65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 aktivity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Náklady</w:t>
            </w:r>
          </w:p>
        </w:tc>
        <w:tc>
          <w:tcPr>
            <w:tcW w:w="31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Odpovědnost</w:t>
            </w:r>
          </w:p>
        </w:tc>
      </w:tr>
      <w:tr w:rsidR="000F3E01">
        <w:trPr>
          <w:trHeight w:val="300"/>
        </w:trPr>
        <w:tc>
          <w:tcPr>
            <w:tcW w:w="13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65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2017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2018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v roce 2019</w:t>
            </w:r>
          </w:p>
        </w:tc>
        <w:tc>
          <w:tcPr>
            <w:tcW w:w="31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0F3E01">
            <w:pPr>
              <w:spacing w:after="0" w:line="240" w:lineRule="auto"/>
              <w:rPr>
                <w:b/>
                <w:bCs/>
              </w:rPr>
            </w:pPr>
          </w:p>
        </w:tc>
      </w:tr>
      <w:tr w:rsidR="000F3E01">
        <w:trPr>
          <w:trHeight w:val="30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5.1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Aktualizace akčního plánu strategie rozvoje města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Hodonín, ORM</w:t>
            </w:r>
          </w:p>
        </w:tc>
      </w:tr>
      <w:tr w:rsidR="000F3E01">
        <w:trPr>
          <w:trHeight w:val="300"/>
        </w:trPr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5.1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Hodnocení akčního plánu strategie rozvoje města</w:t>
            </w:r>
          </w:p>
        </w:tc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0</w:t>
            </w:r>
          </w:p>
        </w:tc>
        <w:tc>
          <w:tcPr>
            <w:tcW w:w="3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3E01" w:rsidRDefault="00C32173">
            <w:pPr>
              <w:spacing w:after="0" w:line="240" w:lineRule="auto"/>
            </w:pPr>
            <w:r>
              <w:t>MěÚ Hodonín, ORM</w:t>
            </w:r>
          </w:p>
        </w:tc>
      </w:tr>
    </w:tbl>
    <w:p w:rsidR="000F3E01" w:rsidRDefault="000F3E01"/>
    <w:sectPr w:rsidR="000F3E01">
      <w:pgSz w:w="16838" w:h="11906" w:orient="landscape"/>
      <w:pgMar w:top="851" w:right="851" w:bottom="851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7F5" w:rsidRDefault="00DA67F5">
      <w:pPr>
        <w:spacing w:after="0" w:line="240" w:lineRule="auto"/>
      </w:pPr>
      <w:r>
        <w:separator/>
      </w:r>
    </w:p>
  </w:endnote>
  <w:endnote w:type="continuationSeparator" w:id="0">
    <w:p w:rsidR="00DA67F5" w:rsidRDefault="00DA6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7F5" w:rsidRDefault="00DA67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DA67F5" w:rsidRDefault="00DA67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DC7F4F"/>
    <w:multiLevelType w:val="multilevel"/>
    <w:tmpl w:val="A776DE6E"/>
    <w:lvl w:ilvl="0">
      <w:start w:val="1"/>
      <w:numFmt w:val="decimal"/>
      <w:lvlText w:val="%1."/>
      <w:lvlJc w:val="left"/>
      <w:pPr>
        <w:ind w:left="928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01"/>
    <w:rsid w:val="0003182E"/>
    <w:rsid w:val="000F3E01"/>
    <w:rsid w:val="0036699D"/>
    <w:rsid w:val="004A04D2"/>
    <w:rsid w:val="00A36041"/>
    <w:rsid w:val="00BE07E2"/>
    <w:rsid w:val="00C32173"/>
    <w:rsid w:val="00DA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AE726-2350-44E3-8682-BAA87732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pPr>
      <w:ind w:left="720"/>
    </w:pPr>
  </w:style>
  <w:style w:type="paragraph" w:styleId="Bezmezer">
    <w:name w:val="No Spacing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2.xml"/><Relationship Id="rId5" Type="http://schemas.openxmlformats.org/officeDocument/2006/relationships/footnotes" Target="footnotes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c:style val="2"/>
  <c:chart>
    <c:title>
      <c:tx>
        <c:rich>
          <a:bodyPr lIns="0" tIns="0" rIns="0" bIns="0"/>
          <a:lstStyle/>
          <a:p>
            <a:pPr marL="0" marR="0" indent="0" algn="ctr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lang="cs-CZ" sz="1050" b="1" i="0" u="none" strike="noStrike" kern="1200" baseline="0">
                <a:solidFill>
                  <a:srgbClr val="000000"/>
                </a:solidFill>
                <a:latin typeface="Calibri"/>
              </a:defRPr>
            </a:pPr>
            <a:r>
              <a:rPr lang="cs-CZ" sz="1050" b="1" i="0" u="none" strike="noStrike" kern="1200" cap="none" spc="0" baseline="0">
                <a:solidFill>
                  <a:srgbClr val="000000"/>
                </a:solidFill>
                <a:uFillTx/>
                <a:latin typeface="Calibri"/>
                <a:ea typeface="+mn-ea"/>
                <a:cs typeface="+mn-cs"/>
              </a:rPr>
              <a:t>Jak jste spokojeni se zpracováním a konečnou strukturou strategického plánu? </a:t>
            </a:r>
          </a:p>
        </c:rich>
      </c:tx>
      <c:layout>
        <c:manualLayout>
          <c:xMode val="edge"/>
          <c:yMode val="edge"/>
          <c:x val="0.12502295519249018"/>
          <c:y val="1.1406451060978174E-5"/>
        </c:manualLayout>
      </c:layout>
      <c:overlay val="0"/>
      <c:spPr>
        <a:noFill/>
        <a:ln>
          <a:noFill/>
        </a:ln>
      </c:spPr>
    </c:title>
    <c:autoTitleDeleted val="0"/>
    <c:plotArea>
      <c:layout>
        <c:manualLayout>
          <c:xMode val="edge"/>
          <c:yMode val="edge"/>
          <c:x val="0.14551146904682519"/>
          <c:y val="0.42538149232025035"/>
          <c:w val="0.22892713329400602"/>
          <c:h val="0.47723379303707453"/>
        </c:manualLayout>
      </c:layout>
      <c:pieChart>
        <c:varyColors val="1"/>
        <c:ser>
          <c:idx val="0"/>
          <c:order val="0"/>
          <c:tx>
            <c:v>Celkem</c:v>
          </c:tx>
          <c:dPt>
            <c:idx val="0"/>
            <c:bubble3D val="0"/>
            <c:spPr>
              <a:gradFill>
                <a:gsLst>
                  <a:gs pos="0">
                    <a:srgbClr val="2C5D98"/>
                  </a:gs>
                  <a:gs pos="100000">
                    <a:srgbClr val="3C7BC7"/>
                  </a:gs>
                </a:gsLst>
                <a:lin ang="16200000"/>
              </a:gradFill>
              <a:ln>
                <a:noFill/>
              </a:ln>
              <a:effectLst>
                <a:outerShdw dist="22997" dir="5400000" algn="tl">
                  <a:srgbClr val="000000">
                    <a:alpha val="35000"/>
                  </a:srgbClr>
                </a:outerShdw>
              </a:effectLst>
            </c:spPr>
          </c:dPt>
          <c:dPt>
            <c:idx val="1"/>
            <c:bubble3D val="0"/>
            <c:spPr>
              <a:gradFill>
                <a:gsLst>
                  <a:gs pos="0">
                    <a:srgbClr val="9B2D2A"/>
                  </a:gs>
                  <a:gs pos="100000">
                    <a:srgbClr val="CB3D3A"/>
                  </a:gs>
                </a:gsLst>
                <a:lin ang="16200000"/>
              </a:gradFill>
              <a:ln>
                <a:noFill/>
              </a:ln>
              <a:effectLst>
                <a:outerShdw dist="22997" dir="5400000" algn="tl">
                  <a:srgbClr val="000000">
                    <a:alpha val="35000"/>
                  </a:srgbClr>
                </a:outerShdw>
              </a:effectLst>
            </c:spPr>
          </c:dPt>
          <c:dPt>
            <c:idx val="2"/>
            <c:bubble3D val="0"/>
            <c:spPr>
              <a:gradFill>
                <a:gsLst>
                  <a:gs pos="0">
                    <a:srgbClr val="769535"/>
                  </a:gs>
                  <a:gs pos="100000">
                    <a:srgbClr val="9BC348"/>
                  </a:gs>
                </a:gsLst>
                <a:lin ang="16200000"/>
              </a:gradFill>
              <a:ln>
                <a:noFill/>
              </a:ln>
              <a:effectLst>
                <a:outerShdw dist="22997" dir="5400000" algn="tl">
                  <a:srgbClr val="000000">
                    <a:alpha val="35000"/>
                  </a:srgbClr>
                </a:outerShdw>
              </a:effectLst>
            </c:spPr>
          </c:dPt>
          <c:cat>
            <c:strLit>
              <c:ptCount val="3"/>
              <c:pt idx="0">
                <c:v>Spíše nespokojen</c:v>
              </c:pt>
              <c:pt idx="1">
                <c:v>Spíše spokojen</c:v>
              </c:pt>
              <c:pt idx="2">
                <c:v>Spokojen</c:v>
              </c:pt>
            </c:strLit>
          </c:cat>
          <c:val>
            <c:numLit>
              <c:formatCode>General</c:formatCode>
              <c:ptCount val="3"/>
              <c:pt idx="0">
                <c:v>2</c:v>
              </c:pt>
              <c:pt idx="1">
                <c:v>6</c:v>
              </c:pt>
              <c:pt idx="2">
                <c:v>8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</c:spPr>
    </c:plotArea>
    <c:legend>
      <c:legendPos val="r"/>
      <c:layout>
        <c:manualLayout>
          <c:xMode val="edge"/>
          <c:yMode val="edge"/>
          <c:x val="0.45426692998880025"/>
          <c:y val="0.48628552485715199"/>
          <c:w val="0.48277753554421332"/>
          <c:h val="0.43763029621297339"/>
        </c:manualLayout>
      </c:layout>
      <c:overlay val="0"/>
      <c:spPr>
        <a:noFill/>
        <a:ln>
          <a:noFill/>
        </a:ln>
      </c:spPr>
      <c:txPr>
        <a:bodyPr lIns="0" tIns="0" rIns="0" bIns="0"/>
        <a:lstStyle/>
        <a:p>
          <a:pPr marL="0" marR="0" indent="0" defTabSz="914400" fontAlgn="auto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tabLst/>
            <a:defRPr lang="cs-CZ" sz="1000" b="0" i="0" u="none" strike="noStrike" kern="1200" baseline="0">
              <a:solidFill>
                <a:srgbClr val="000000"/>
              </a:solidFill>
              <a:latin typeface="Calibri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8">
      <a:solidFill>
        <a:srgbClr val="868686"/>
      </a:solidFill>
      <a:prstDash val="solid"/>
      <a:round/>
    </a:ln>
  </c:spPr>
  <c:txPr>
    <a:bodyPr lIns="0" tIns="0" rIns="0" bIns="0"/>
    <a:lstStyle/>
    <a:p>
      <a:pPr marL="0" marR="0" indent="0" defTabSz="914400" fontAlgn="auto" hangingPunct="1">
        <a:lnSpc>
          <a:spcPct val="100000"/>
        </a:lnSpc>
        <a:spcBef>
          <a:spcPts val="0"/>
        </a:spcBef>
        <a:spcAft>
          <a:spcPts val="0"/>
        </a:spcAft>
        <a:tabLst/>
        <a:defRPr lang="cs-CZ" sz="1000" b="0" i="0" u="none" strike="noStrike" kern="1200" baseline="0">
          <a:solidFill>
            <a:srgbClr val="000000"/>
          </a:solidFill>
          <a:latin typeface="Calibri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c:style val="2"/>
  <c:chart>
    <c:title>
      <c:tx>
        <c:rich>
          <a:bodyPr lIns="0" tIns="0" rIns="0" bIns="0"/>
          <a:lstStyle/>
          <a:p>
            <a:pPr marL="0" marR="0" indent="0" algn="ctr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lang="cs-CZ" sz="1100" b="1" i="0" u="none" strike="noStrike" kern="1200" baseline="0">
                <a:solidFill>
                  <a:srgbClr val="000000"/>
                </a:solidFill>
                <a:latin typeface="Calibri"/>
              </a:defRPr>
            </a:pPr>
            <a:r>
              <a:rPr lang="cs-CZ" sz="1100" b="1" i="0" u="none" strike="noStrike" kern="1200" cap="none" spc="0" baseline="0">
                <a:solidFill>
                  <a:srgbClr val="000000"/>
                </a:solidFill>
                <a:uFillTx/>
                <a:latin typeface="Calibri"/>
                <a:ea typeface="+mn-ea"/>
                <a:cs typeface="+mn-cs"/>
              </a:rPr>
              <a:t>Jak jste spokojeni s navrhovanými opatřeními v prvním akčním plánu?</a:t>
            </a:r>
          </a:p>
        </c:rich>
      </c:tx>
      <c:layout>
        <c:manualLayout>
          <c:xMode val="edge"/>
          <c:yMode val="edge"/>
          <c:x val="0.13233654054648838"/>
          <c:y val="4.9903223391779516E-6"/>
        </c:manualLayout>
      </c:layout>
      <c:overlay val="0"/>
      <c:spPr>
        <a:noFill/>
        <a:ln>
          <a:noFill/>
        </a:ln>
      </c:spPr>
    </c:title>
    <c:autoTitleDeleted val="0"/>
    <c:plotArea>
      <c:layout/>
      <c:pieChart>
        <c:varyColors val="1"/>
        <c:ser>
          <c:idx val="0"/>
          <c:order val="0"/>
          <c:tx>
            <c:v>Celkem</c:v>
          </c:tx>
          <c:dPt>
            <c:idx val="0"/>
            <c:bubble3D val="0"/>
            <c:spPr>
              <a:gradFill>
                <a:gsLst>
                  <a:gs pos="0">
                    <a:srgbClr val="2C5D98"/>
                  </a:gs>
                  <a:gs pos="100000">
                    <a:srgbClr val="3C7BC7"/>
                  </a:gs>
                </a:gsLst>
                <a:lin ang="16200000"/>
              </a:gradFill>
              <a:ln>
                <a:noFill/>
              </a:ln>
              <a:effectLst>
                <a:outerShdw dist="22997" dir="5400000" algn="tl">
                  <a:srgbClr val="000000">
                    <a:alpha val="35000"/>
                  </a:srgbClr>
                </a:outerShdw>
              </a:effectLst>
            </c:spPr>
          </c:dPt>
          <c:dPt>
            <c:idx val="1"/>
            <c:bubble3D val="0"/>
            <c:spPr>
              <a:gradFill>
                <a:gsLst>
                  <a:gs pos="0">
                    <a:srgbClr val="9B2D2A"/>
                  </a:gs>
                  <a:gs pos="100000">
                    <a:srgbClr val="CB3D3A"/>
                  </a:gs>
                </a:gsLst>
                <a:lin ang="16200000"/>
              </a:gradFill>
              <a:ln>
                <a:noFill/>
              </a:ln>
              <a:effectLst>
                <a:outerShdw dist="22997" dir="5400000" algn="tl">
                  <a:srgbClr val="000000">
                    <a:alpha val="35000"/>
                  </a:srgbClr>
                </a:outerShdw>
              </a:effectLst>
            </c:spPr>
          </c:dPt>
          <c:dPt>
            <c:idx val="2"/>
            <c:bubble3D val="0"/>
            <c:spPr>
              <a:gradFill>
                <a:gsLst>
                  <a:gs pos="0">
                    <a:srgbClr val="769535"/>
                  </a:gs>
                  <a:gs pos="100000">
                    <a:srgbClr val="9BC348"/>
                  </a:gs>
                </a:gsLst>
                <a:lin ang="16200000"/>
              </a:gradFill>
              <a:ln>
                <a:noFill/>
              </a:ln>
              <a:effectLst>
                <a:outerShdw dist="22997" dir="5400000" algn="tl">
                  <a:srgbClr val="000000">
                    <a:alpha val="35000"/>
                  </a:srgbClr>
                </a:outerShdw>
              </a:effectLst>
            </c:spPr>
          </c:dPt>
          <c:cat>
            <c:strLit>
              <c:ptCount val="3"/>
              <c:pt idx="0">
                <c:v>Spíše nespokojen</c:v>
              </c:pt>
              <c:pt idx="1">
                <c:v>Spíše spokojen</c:v>
              </c:pt>
              <c:pt idx="2">
                <c:v>Spokojen</c:v>
              </c:pt>
            </c:strLit>
          </c:cat>
          <c:val>
            <c:numLit>
              <c:formatCode>General</c:formatCode>
              <c:ptCount val="3"/>
              <c:pt idx="0">
                <c:v>2</c:v>
              </c:pt>
              <c:pt idx="1">
                <c:v>5</c:v>
              </c:pt>
              <c:pt idx="2">
                <c:v>9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</c:spPr>
    </c:plotArea>
    <c:legend>
      <c:legendPos val="r"/>
      <c:layout>
        <c:manualLayout>
          <c:xMode val="edge"/>
          <c:yMode val="edge"/>
          <c:x val="0.5183532853707713"/>
          <c:y val="0.45277408454318946"/>
          <c:w val="0.45744661546936261"/>
          <c:h val="0.54722588247897586"/>
        </c:manualLayout>
      </c:layout>
      <c:overlay val="0"/>
      <c:spPr>
        <a:noFill/>
        <a:ln>
          <a:noFill/>
        </a:ln>
      </c:spPr>
      <c:txPr>
        <a:bodyPr lIns="0" tIns="0" rIns="0" bIns="0"/>
        <a:lstStyle/>
        <a:p>
          <a:pPr marL="0" marR="0" indent="0" defTabSz="914400" fontAlgn="auto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tabLst/>
            <a:defRPr lang="cs-CZ" sz="1000" b="0" i="0" u="none" strike="noStrike" kern="1200" baseline="0">
              <a:solidFill>
                <a:srgbClr val="000000"/>
              </a:solidFill>
              <a:latin typeface="Calibri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8">
      <a:solidFill>
        <a:srgbClr val="868686"/>
      </a:solidFill>
      <a:prstDash val="solid"/>
      <a:round/>
    </a:ln>
  </c:spPr>
  <c:txPr>
    <a:bodyPr lIns="0" tIns="0" rIns="0" bIns="0"/>
    <a:lstStyle/>
    <a:p>
      <a:pPr marL="0" marR="0" indent="0" defTabSz="914400" fontAlgn="auto" hangingPunct="1">
        <a:lnSpc>
          <a:spcPct val="100000"/>
        </a:lnSpc>
        <a:spcBef>
          <a:spcPts val="0"/>
        </a:spcBef>
        <a:spcAft>
          <a:spcPts val="0"/>
        </a:spcAft>
        <a:tabLst/>
        <a:defRPr lang="cs-CZ" sz="1000" b="0" i="0" u="none" strike="noStrike" kern="1200" baseline="0">
          <a:solidFill>
            <a:srgbClr val="000000"/>
          </a:solidFill>
          <a:latin typeface="Calibri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c:style val="2"/>
  <c:chart>
    <c:title>
      <c:tx>
        <c:rich>
          <a:bodyPr lIns="0" tIns="0" rIns="0" bIns="0"/>
          <a:lstStyle/>
          <a:p>
            <a:pPr marL="0" marR="0" indent="0" algn="ctr" defTabSz="914400" fontAlgn="auto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tabLst/>
              <a:defRPr lang="cs-CZ" sz="1800" b="1" i="0" u="none" strike="noStrike" kern="1200" baseline="0">
                <a:solidFill>
                  <a:srgbClr val="000000"/>
                </a:solidFill>
                <a:latin typeface="Calibri"/>
              </a:defRPr>
            </a:pPr>
            <a:r>
              <a:rPr lang="cs-CZ" sz="1800" b="1" i="0" u="none" strike="noStrike" kern="1200" cap="none" spc="0" baseline="0">
                <a:solidFill>
                  <a:srgbClr val="000000"/>
                </a:solidFill>
                <a:uFillTx/>
                <a:latin typeface="Calibri"/>
                <a:ea typeface="+mn-ea"/>
                <a:cs typeface="+mn-cs"/>
              </a:rPr>
              <a:t>Celkové plnění strategického plánu města Hodonín</a:t>
            </a:r>
          </a:p>
        </c:rich>
      </c:tx>
      <c:overlay val="0"/>
      <c:spPr>
        <a:noFill/>
        <a:ln>
          <a:noFill/>
        </a:ln>
      </c:spPr>
    </c:title>
    <c:autoTitleDeleted val="0"/>
    <c:plotArea>
      <c:layout>
        <c:manualLayout>
          <c:xMode val="edge"/>
          <c:yMode val="edge"/>
          <c:x val="0.17020997375328084"/>
          <c:y val="0.26453922426363374"/>
          <c:w val="0.41852471566054245"/>
          <c:h val="0.69754119276757076"/>
        </c:manualLayout>
      </c:layout>
      <c:pieChart>
        <c:varyColors val="1"/>
        <c:ser>
          <c:idx val="0"/>
          <c:order val="0"/>
          <c:tx>
            <c:v>Řady1</c:v>
          </c:tx>
          <c:dPt>
            <c:idx val="0"/>
            <c:bubble3D val="0"/>
            <c:spPr>
              <a:gradFill>
                <a:gsLst>
                  <a:gs pos="0">
                    <a:srgbClr val="2C5D98"/>
                  </a:gs>
                  <a:gs pos="100000">
                    <a:srgbClr val="3C7BC7"/>
                  </a:gs>
                </a:gsLst>
                <a:lin ang="16200000"/>
              </a:gradFill>
              <a:ln>
                <a:noFill/>
              </a:ln>
              <a:effectLst>
                <a:outerShdw dist="22997" dir="5400000" algn="tl">
                  <a:srgbClr val="000000">
                    <a:alpha val="35000"/>
                  </a:srgbClr>
                </a:outerShdw>
              </a:effectLst>
            </c:spPr>
          </c:dPt>
          <c:dPt>
            <c:idx val="1"/>
            <c:bubble3D val="0"/>
            <c:spPr>
              <a:gradFill>
                <a:gsLst>
                  <a:gs pos="0">
                    <a:srgbClr val="9B2D2A"/>
                  </a:gs>
                  <a:gs pos="100000">
                    <a:srgbClr val="CB3D3A"/>
                  </a:gs>
                </a:gsLst>
                <a:lin ang="16200000"/>
              </a:gradFill>
              <a:ln>
                <a:noFill/>
              </a:ln>
              <a:effectLst>
                <a:outerShdw dist="22997" dir="5400000" algn="tl">
                  <a:srgbClr val="000000">
                    <a:alpha val="35000"/>
                  </a:srgbClr>
                </a:outerShdw>
              </a:effectLst>
            </c:spPr>
          </c:dPt>
          <c:dPt>
            <c:idx val="2"/>
            <c:bubble3D val="0"/>
            <c:spPr>
              <a:gradFill>
                <a:gsLst>
                  <a:gs pos="0">
                    <a:srgbClr val="769535"/>
                  </a:gs>
                  <a:gs pos="100000">
                    <a:srgbClr val="9BC348"/>
                  </a:gs>
                </a:gsLst>
                <a:lin ang="16200000"/>
              </a:gradFill>
              <a:ln>
                <a:noFill/>
              </a:ln>
              <a:effectLst>
                <a:outerShdw dist="22997" dir="5400000" algn="tl">
                  <a:srgbClr val="000000">
                    <a:alpha val="35000"/>
                  </a:srgbClr>
                </a:outerShdw>
              </a:effectLst>
            </c:spPr>
          </c:dPt>
          <c:dLbls>
            <c:spPr>
              <a:noFill/>
              <a:ln>
                <a:noFill/>
              </a:ln>
              <a:effectLst/>
            </c:spPr>
            <c:txPr>
              <a:bodyPr lIns="0" tIns="0" rIns="0" bIns="0"/>
              <a:lstStyle/>
              <a:p>
                <a:pPr marL="0" marR="0" indent="0" algn="ctr" defTabSz="914400" fontAlgn="auto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tabLst/>
                  <a:defRPr lang="cs-CZ" sz="1000" b="0" i="0" u="none" strike="noStrike" kern="1200" baseline="0">
                    <a:solidFill>
                      <a:srgbClr val="000000"/>
                    </a:solidFill>
                    <a:latin typeface="Calibri"/>
                  </a:defRPr>
                </a:pPr>
                <a:endParaRPr lang="cs-CZ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spPr xmlns:c15="http://schemas.microsoft.com/office/drawing/2012/chart">
                  <a:prstGeom prst="rect">
                    <a:avLst/>
                  </a:prstGeom>
                </c15:spPr>
              </c:ext>
            </c:extLst>
          </c:dLbls>
          <c:cat>
            <c:strLit>
              <c:ptCount val="3"/>
              <c:pt idx="0">
                <c:v>Splněno</c:v>
              </c:pt>
              <c:pt idx="1">
                <c:v>V řešení/realizaci</c:v>
              </c:pt>
              <c:pt idx="2">
                <c:v>Neřeší se</c:v>
              </c:pt>
            </c:strLit>
          </c:cat>
          <c:val>
            <c:numLit>
              <c:formatCode>General</c:formatCode>
              <c:ptCount val="3"/>
              <c:pt idx="0">
                <c:v>3.6999999999999998E-2</c:v>
              </c:pt>
              <c:pt idx="1">
                <c:v>0.48799999999999999</c:v>
              </c:pt>
              <c:pt idx="2">
                <c:v>0.47499999999999998</c:v>
              </c:pt>
            </c:numLit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</c:spPr>
    </c:plotArea>
    <c:legend>
      <c:legendPos val="r"/>
      <c:layout>
        <c:manualLayout>
          <c:xMode val="edge"/>
          <c:yMode val="edge"/>
          <c:x val="0.67005577427821517"/>
          <c:y val="0.4923636628754739"/>
        </c:manualLayout>
      </c:layout>
      <c:overlay val="0"/>
      <c:spPr>
        <a:noFill/>
        <a:ln>
          <a:noFill/>
        </a:ln>
      </c:spPr>
      <c:txPr>
        <a:bodyPr lIns="0" tIns="0" rIns="0" bIns="0"/>
        <a:lstStyle/>
        <a:p>
          <a:pPr marL="0" marR="0" indent="0" defTabSz="914400" fontAlgn="auto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tabLst/>
            <a:defRPr lang="cs-CZ" sz="1000" b="0" i="0" u="none" strike="noStrike" kern="1200" baseline="0">
              <a:solidFill>
                <a:srgbClr val="000000"/>
              </a:solidFill>
              <a:latin typeface="Calibri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rgbClr val="FFFFFF"/>
    </a:solidFill>
    <a:ln w="9528">
      <a:solidFill>
        <a:srgbClr val="868686"/>
      </a:solidFill>
      <a:prstDash val="solid"/>
      <a:round/>
    </a:ln>
  </c:spPr>
  <c:txPr>
    <a:bodyPr lIns="0" tIns="0" rIns="0" bIns="0"/>
    <a:lstStyle/>
    <a:p>
      <a:pPr marL="0" marR="0" indent="0" defTabSz="914400" fontAlgn="auto" hangingPunct="1">
        <a:lnSpc>
          <a:spcPct val="100000"/>
        </a:lnSpc>
        <a:spcBef>
          <a:spcPts val="0"/>
        </a:spcBef>
        <a:spcAft>
          <a:spcPts val="0"/>
        </a:spcAft>
        <a:tabLst/>
        <a:defRPr lang="cs-CZ" sz="1000" b="0" i="0" u="none" strike="noStrike" kern="1200" baseline="0">
          <a:solidFill>
            <a:srgbClr val="000000"/>
          </a:solidFill>
          <a:latin typeface="Calibri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3027</Words>
  <Characters>17862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20848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Kopečná Bc., DiS</dc:creator>
  <cp:lastModifiedBy>Holomčíková Jana Ing.</cp:lastModifiedBy>
  <cp:revision>2</cp:revision>
  <dcterms:created xsi:type="dcterms:W3CDTF">2019-02-27T09:28:00Z</dcterms:created>
  <dcterms:modified xsi:type="dcterms:W3CDTF">2019-02-27T09:28:00Z</dcterms:modified>
</cp:coreProperties>
</file>