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3FC" w:rsidRDefault="003733FC" w:rsidP="003733FC">
      <w:pPr>
        <w:rPr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Graf: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Střední délka života při narození v </w:t>
      </w:r>
      <w:r>
        <w:rPr>
          <w:i/>
          <w:iCs/>
          <w:szCs w:val="24"/>
        </w:rPr>
        <w:t xml:space="preserve">SO </w:t>
      </w:r>
      <w:r w:rsidRPr="008213B6">
        <w:rPr>
          <w:i/>
          <w:iCs/>
          <w:szCs w:val="24"/>
        </w:rPr>
        <w:t xml:space="preserve">ORP </w:t>
      </w:r>
      <w:r>
        <w:rPr>
          <w:i/>
          <w:iCs/>
          <w:szCs w:val="24"/>
        </w:rPr>
        <w:t>Benešov, České republice a Středočeském kraji v </w:t>
      </w:r>
      <w:r w:rsidRPr="008213B6">
        <w:rPr>
          <w:i/>
          <w:iCs/>
          <w:szCs w:val="24"/>
        </w:rPr>
        <w:t>letech 200</w:t>
      </w:r>
      <w:r>
        <w:rPr>
          <w:i/>
          <w:iCs/>
          <w:szCs w:val="24"/>
        </w:rPr>
        <w:t xml:space="preserve">6 až </w:t>
      </w:r>
      <w:r w:rsidRPr="008213B6">
        <w:rPr>
          <w:i/>
          <w:iCs/>
          <w:szCs w:val="24"/>
        </w:rPr>
        <w:t>201</w:t>
      </w:r>
      <w:r>
        <w:rPr>
          <w:i/>
          <w:iCs/>
          <w:szCs w:val="24"/>
        </w:rPr>
        <w:t>7</w:t>
      </w:r>
      <w:r w:rsidRPr="008213B6">
        <w:rPr>
          <w:i/>
          <w:iCs/>
          <w:szCs w:val="24"/>
        </w:rPr>
        <w:t>, muži</w:t>
      </w:r>
      <w:r>
        <w:rPr>
          <w:i/>
          <w:iCs/>
          <w:szCs w:val="24"/>
        </w:rPr>
        <w:t xml:space="preserve"> </w:t>
      </w:r>
    </w:p>
    <w:p w:rsidR="003733FC" w:rsidRPr="009E384F" w:rsidRDefault="003733FC" w:rsidP="003733FC">
      <w:pPr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133A90A4" wp14:editId="48CBB074">
            <wp:extent cx="5760720" cy="3600000"/>
            <wp:effectExtent l="0" t="0" r="11430" b="635"/>
            <wp:docPr id="53" name="Graf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733FC" w:rsidRDefault="003733FC" w:rsidP="003733FC">
      <w:pPr>
        <w:rPr>
          <w:rFonts w:asciiTheme="majorHAnsi" w:hAnsiTheme="majorHAnsi" w:cstheme="majorHAnsi"/>
          <w:i/>
          <w:iCs/>
          <w:szCs w:val="24"/>
        </w:rPr>
      </w:pPr>
    </w:p>
    <w:p w:rsidR="003733FC" w:rsidRDefault="003733FC" w:rsidP="003733FC">
      <w:pPr>
        <w:rPr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>: Střední délka života při narození v </w:t>
      </w:r>
      <w:r>
        <w:rPr>
          <w:i/>
          <w:iCs/>
          <w:szCs w:val="24"/>
        </w:rPr>
        <w:t xml:space="preserve">SO </w:t>
      </w:r>
      <w:r w:rsidRPr="008213B6">
        <w:rPr>
          <w:i/>
          <w:iCs/>
          <w:szCs w:val="24"/>
        </w:rPr>
        <w:t xml:space="preserve">ORP </w:t>
      </w:r>
      <w:r>
        <w:rPr>
          <w:i/>
          <w:iCs/>
          <w:szCs w:val="24"/>
        </w:rPr>
        <w:t>Benešov, České republice a Středočeském kraji v </w:t>
      </w:r>
      <w:r w:rsidRPr="008213B6">
        <w:rPr>
          <w:i/>
          <w:iCs/>
          <w:szCs w:val="24"/>
        </w:rPr>
        <w:t>letech 200</w:t>
      </w:r>
      <w:r>
        <w:rPr>
          <w:i/>
          <w:iCs/>
          <w:szCs w:val="24"/>
        </w:rPr>
        <w:t xml:space="preserve">6 až </w:t>
      </w:r>
      <w:r w:rsidRPr="008213B6">
        <w:rPr>
          <w:i/>
          <w:iCs/>
          <w:szCs w:val="24"/>
        </w:rPr>
        <w:t>201</w:t>
      </w:r>
      <w:r>
        <w:rPr>
          <w:i/>
          <w:iCs/>
          <w:szCs w:val="24"/>
        </w:rPr>
        <w:t>7</w:t>
      </w:r>
      <w:r w:rsidRPr="008213B6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 xml:space="preserve">ženy </w:t>
      </w:r>
    </w:p>
    <w:p w:rsidR="003733FC" w:rsidRPr="009E384F" w:rsidRDefault="003733FC" w:rsidP="003733FC">
      <w:pPr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493D39EB" wp14:editId="4CE3B5CD">
            <wp:extent cx="5760720" cy="3600000"/>
            <wp:effectExtent l="0" t="0" r="11430" b="635"/>
            <wp:docPr id="56" name="Graf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733FC" w:rsidRDefault="003733FC" w:rsidP="003733FC">
      <w:pPr>
        <w:rPr>
          <w:rFonts w:asciiTheme="majorHAnsi" w:hAnsiTheme="majorHAnsi" w:cstheme="majorHAnsi"/>
          <w:i/>
          <w:iCs/>
          <w:szCs w:val="24"/>
        </w:rPr>
      </w:pPr>
    </w:p>
    <w:p w:rsidR="003733FC" w:rsidRDefault="003733FC" w:rsidP="003733FC">
      <w:pPr>
        <w:rPr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>: Střední délka života v 65 letech  v </w:t>
      </w:r>
      <w:r>
        <w:rPr>
          <w:i/>
          <w:iCs/>
          <w:szCs w:val="24"/>
        </w:rPr>
        <w:t xml:space="preserve">SO </w:t>
      </w:r>
      <w:r w:rsidRPr="008213B6">
        <w:rPr>
          <w:i/>
          <w:iCs/>
          <w:szCs w:val="24"/>
        </w:rPr>
        <w:t xml:space="preserve">ORP </w:t>
      </w:r>
      <w:r>
        <w:rPr>
          <w:i/>
          <w:iCs/>
          <w:szCs w:val="24"/>
        </w:rPr>
        <w:t>Benešov, České republice a Středočeském kraji v </w:t>
      </w:r>
      <w:r w:rsidRPr="008213B6">
        <w:rPr>
          <w:i/>
          <w:iCs/>
          <w:szCs w:val="24"/>
        </w:rPr>
        <w:t>letech 200</w:t>
      </w:r>
      <w:r>
        <w:rPr>
          <w:i/>
          <w:iCs/>
          <w:szCs w:val="24"/>
        </w:rPr>
        <w:t xml:space="preserve">6 až </w:t>
      </w:r>
      <w:r w:rsidRPr="008213B6">
        <w:rPr>
          <w:i/>
          <w:iCs/>
          <w:szCs w:val="24"/>
        </w:rPr>
        <w:t>201</w:t>
      </w:r>
      <w:r>
        <w:rPr>
          <w:i/>
          <w:iCs/>
          <w:szCs w:val="24"/>
        </w:rPr>
        <w:t>7</w:t>
      </w:r>
      <w:r w:rsidRPr="008213B6">
        <w:rPr>
          <w:i/>
          <w:iCs/>
          <w:szCs w:val="24"/>
        </w:rPr>
        <w:t>, muži</w:t>
      </w:r>
      <w:r>
        <w:rPr>
          <w:i/>
          <w:iCs/>
          <w:szCs w:val="24"/>
        </w:rPr>
        <w:t xml:space="preserve"> </w:t>
      </w:r>
    </w:p>
    <w:p w:rsidR="003733FC" w:rsidRDefault="003733FC" w:rsidP="003733FC">
      <w:pPr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56C2539C" wp14:editId="780E7537">
            <wp:extent cx="5760720" cy="3600000"/>
            <wp:effectExtent l="0" t="0" r="11430" b="635"/>
            <wp:docPr id="292" name="Graf 29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733FC" w:rsidRDefault="003733FC" w:rsidP="003733FC">
      <w:pPr>
        <w:rPr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>: Střední délka života v 65 letech v </w:t>
      </w:r>
      <w:r>
        <w:rPr>
          <w:i/>
          <w:iCs/>
          <w:szCs w:val="24"/>
        </w:rPr>
        <w:t xml:space="preserve">SO </w:t>
      </w:r>
      <w:r w:rsidRPr="008213B6">
        <w:rPr>
          <w:i/>
          <w:iCs/>
          <w:szCs w:val="24"/>
        </w:rPr>
        <w:t xml:space="preserve">ORP </w:t>
      </w:r>
      <w:r>
        <w:rPr>
          <w:i/>
          <w:iCs/>
          <w:szCs w:val="24"/>
        </w:rPr>
        <w:t>Benešov, České republice a Středočeském kraji v </w:t>
      </w:r>
      <w:r w:rsidRPr="008213B6">
        <w:rPr>
          <w:i/>
          <w:iCs/>
          <w:szCs w:val="24"/>
        </w:rPr>
        <w:t>letech 200</w:t>
      </w:r>
      <w:r>
        <w:rPr>
          <w:i/>
          <w:iCs/>
          <w:szCs w:val="24"/>
        </w:rPr>
        <w:t xml:space="preserve">6 až </w:t>
      </w:r>
      <w:r w:rsidRPr="008213B6">
        <w:rPr>
          <w:i/>
          <w:iCs/>
          <w:szCs w:val="24"/>
        </w:rPr>
        <w:t>201</w:t>
      </w:r>
      <w:r>
        <w:rPr>
          <w:i/>
          <w:iCs/>
          <w:szCs w:val="24"/>
        </w:rPr>
        <w:t>7</w:t>
      </w:r>
      <w:r w:rsidRPr="008213B6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 xml:space="preserve">ženy </w:t>
      </w:r>
    </w:p>
    <w:p w:rsidR="00254FEB" w:rsidRDefault="003733FC">
      <w:pPr>
        <w:rPr>
          <w:rFonts w:asciiTheme="majorHAnsi" w:hAnsiTheme="majorHAnsi" w:cstheme="majorHAnsi"/>
          <w:b/>
          <w:bCs/>
          <w:szCs w:val="24"/>
        </w:rPr>
      </w:pPr>
      <w:r>
        <w:rPr>
          <w:noProof/>
          <w:lang w:eastAsia="cs-CZ"/>
        </w:rPr>
        <w:drawing>
          <wp:inline distT="0" distB="0" distL="0" distR="0" wp14:anchorId="5DB3AE3F" wp14:editId="51309D0C">
            <wp:extent cx="5760720" cy="3600000"/>
            <wp:effectExtent l="0" t="0" r="11430" b="635"/>
            <wp:docPr id="293" name="Graf 29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A3513" w:rsidRPr="009E384F" w:rsidRDefault="00AA3513" w:rsidP="00AA3513">
      <w:pPr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lastRenderedPageBreak/>
        <w:t>Graf</w:t>
      </w:r>
      <w:bookmarkStart w:id="0" w:name="_GoBack"/>
      <w:bookmarkEnd w:id="0"/>
      <w:r w:rsidRPr="009E384F">
        <w:rPr>
          <w:rFonts w:asciiTheme="majorHAnsi" w:hAnsiTheme="majorHAnsi" w:cstheme="majorHAnsi"/>
          <w:i/>
          <w:iCs/>
          <w:szCs w:val="24"/>
        </w:rPr>
        <w:t xml:space="preserve">: Střední délka života a délka života ve zdraví při narození a ve věku 65 let v České republice v roce 2015, muži </w:t>
      </w:r>
      <w:r>
        <w:rPr>
          <w:rFonts w:asciiTheme="majorHAnsi" w:hAnsiTheme="majorHAnsi" w:cstheme="majorHAnsi"/>
          <w:i/>
          <w:iCs/>
          <w:szCs w:val="24"/>
        </w:rPr>
        <w:t>a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ženy  </w:t>
      </w:r>
    </w:p>
    <w:p w:rsidR="00AA3513" w:rsidRDefault="00AA3513" w:rsidP="00AA3513">
      <w:pPr>
        <w:rPr>
          <w:rFonts w:asciiTheme="majorHAnsi" w:hAnsiTheme="majorHAnsi" w:cstheme="majorHAnsi"/>
          <w:i/>
          <w:iCs/>
          <w:szCs w:val="24"/>
        </w:rPr>
      </w:pPr>
      <w:r w:rsidRPr="009E384F">
        <w:rPr>
          <w:rFonts w:asciiTheme="majorHAnsi" w:hAnsiTheme="majorHAnsi" w:cstheme="majorHAnsi"/>
          <w:noProof/>
          <w:lang w:eastAsia="cs-CZ"/>
        </w:rPr>
        <w:drawing>
          <wp:inline distT="0" distB="0" distL="0" distR="0" wp14:anchorId="4E5762F2" wp14:editId="097BC82B">
            <wp:extent cx="5760000" cy="3600000"/>
            <wp:effectExtent l="0" t="0" r="12700" b="635"/>
            <wp:docPr id="313" name="Graf 3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A3513" w:rsidRPr="003733FC" w:rsidRDefault="00AA3513">
      <w:pPr>
        <w:rPr>
          <w:rFonts w:asciiTheme="majorHAnsi" w:hAnsiTheme="majorHAnsi" w:cstheme="majorHAnsi"/>
          <w:b/>
          <w:bCs/>
          <w:szCs w:val="24"/>
        </w:rPr>
      </w:pPr>
    </w:p>
    <w:sectPr w:rsidR="00AA3513" w:rsidRPr="00373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254FEB"/>
    <w:rsid w:val="003733FC"/>
    <w:rsid w:val="00814937"/>
    <w:rsid w:val="00AA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Katka\Disk%20Google\T&#253;nec\Grafy%20Bene&#353;ov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Katka\Disk%20Google\T&#253;nec\Grafy%20Bene&#353;ov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Katka\Disk%20Google\T&#253;nec\Grafy%20Bene&#353;ov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tka\Downloads\010104-2015-delka-zivota-ve-zdrav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demografie!$A$60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demografie!$B$59:$M$59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demografie!$B$60:$M$60</c:f>
              <c:numCache>
                <c:formatCode>0.0</c:formatCode>
                <c:ptCount val="12"/>
                <c:pt idx="0">
                  <c:v>73.5</c:v>
                </c:pt>
                <c:pt idx="1">
                  <c:v>73.7</c:v>
                </c:pt>
                <c:pt idx="2">
                  <c:v>74</c:v>
                </c:pt>
                <c:pt idx="3">
                  <c:v>74.2</c:v>
                </c:pt>
                <c:pt idx="4">
                  <c:v>74.400000000000006</c:v>
                </c:pt>
                <c:pt idx="5">
                  <c:v>74.7</c:v>
                </c:pt>
                <c:pt idx="6">
                  <c:v>75</c:v>
                </c:pt>
                <c:pt idx="7">
                  <c:v>75.2</c:v>
                </c:pt>
                <c:pt idx="8">
                  <c:v>75.8</c:v>
                </c:pt>
                <c:pt idx="9">
                  <c:v>75.8</c:v>
                </c:pt>
                <c:pt idx="10">
                  <c:v>76</c:v>
                </c:pt>
                <c:pt idx="11">
                  <c:v>75.599999999999994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3724-4B88-9402-D85E1EBCCCFE}"/>
            </c:ext>
          </c:extLst>
        </c:ser>
        <c:ser>
          <c:idx val="1"/>
          <c:order val="1"/>
          <c:tx>
            <c:strRef>
              <c:f>demografie!$A$61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demografie!$B$59:$M$59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demografie!$B$61:$M$61</c:f>
              <c:numCache>
                <c:formatCode>0.0</c:formatCode>
                <c:ptCount val="12"/>
                <c:pt idx="0">
                  <c:v>73</c:v>
                </c:pt>
                <c:pt idx="1">
                  <c:v>73.400000000000006</c:v>
                </c:pt>
                <c:pt idx="2">
                  <c:v>73.8</c:v>
                </c:pt>
                <c:pt idx="3">
                  <c:v>74</c:v>
                </c:pt>
                <c:pt idx="4">
                  <c:v>74.3</c:v>
                </c:pt>
                <c:pt idx="5">
                  <c:v>74.599999999999994</c:v>
                </c:pt>
                <c:pt idx="6">
                  <c:v>74.900000000000006</c:v>
                </c:pt>
                <c:pt idx="7">
                  <c:v>75.2</c:v>
                </c:pt>
                <c:pt idx="8">
                  <c:v>75.7</c:v>
                </c:pt>
                <c:pt idx="9">
                  <c:v>76.2</c:v>
                </c:pt>
                <c:pt idx="10">
                  <c:v>76.5</c:v>
                </c:pt>
                <c:pt idx="11">
                  <c:v>75.900000000000006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3724-4B88-9402-D85E1EBCCCFE}"/>
            </c:ext>
          </c:extLst>
        </c:ser>
        <c:ser>
          <c:idx val="2"/>
          <c:order val="2"/>
          <c:tx>
            <c:strRef>
              <c:f>demografie!$A$62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demografie!$B$59:$M$59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demografie!$B$62:$M$62</c:f>
              <c:numCache>
                <c:formatCode>General</c:formatCode>
                <c:ptCount val="12"/>
                <c:pt idx="2" formatCode="0.0">
                  <c:v>73.3</c:v>
                </c:pt>
                <c:pt idx="3" formatCode="0.0">
                  <c:v>73.599999999999994</c:v>
                </c:pt>
                <c:pt idx="4" formatCode="0.0">
                  <c:v>73.599999999999994</c:v>
                </c:pt>
                <c:pt idx="5" formatCode="0.0">
                  <c:v>73.7</c:v>
                </c:pt>
                <c:pt idx="6" formatCode="0.0">
                  <c:v>73.900000000000006</c:v>
                </c:pt>
                <c:pt idx="7" formatCode="0.0">
                  <c:v>74.599999999999994</c:v>
                </c:pt>
                <c:pt idx="8" formatCode="0.0">
                  <c:v>75.099999999999994</c:v>
                </c:pt>
                <c:pt idx="9" formatCode="0.0">
                  <c:v>75.7</c:v>
                </c:pt>
                <c:pt idx="10" formatCode="0.0">
                  <c:v>76</c:v>
                </c:pt>
                <c:pt idx="11" formatCode="0.0">
                  <c:v>75.900000000000006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3724-4B88-9402-D85E1EBCCC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4941512"/>
        <c:axId val="494941904"/>
      </c:lineChart>
      <c:catAx>
        <c:axId val="494941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4941904"/>
        <c:crosses val="autoZero"/>
        <c:auto val="1"/>
        <c:lblAlgn val="ctr"/>
        <c:lblOffset val="100"/>
        <c:noMultiLvlLbl val="0"/>
      </c:catAx>
      <c:valAx>
        <c:axId val="494941904"/>
        <c:scaling>
          <c:orientation val="minMax"/>
          <c:max val="78"/>
          <c:min val="7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49415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demografie!$A$105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demografie!$B$104:$M$104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demografie!$B$105:$M$105</c:f>
              <c:numCache>
                <c:formatCode>0.0</c:formatCode>
                <c:ptCount val="12"/>
                <c:pt idx="0">
                  <c:v>79.7</c:v>
                </c:pt>
                <c:pt idx="1">
                  <c:v>79.900000000000006</c:v>
                </c:pt>
                <c:pt idx="2">
                  <c:v>80.099999999999994</c:v>
                </c:pt>
                <c:pt idx="3">
                  <c:v>80.099999999999994</c:v>
                </c:pt>
                <c:pt idx="4">
                  <c:v>80.599999999999994</c:v>
                </c:pt>
                <c:pt idx="5">
                  <c:v>80.7</c:v>
                </c:pt>
                <c:pt idx="6">
                  <c:v>80.900000000000006</c:v>
                </c:pt>
                <c:pt idx="7">
                  <c:v>81.099999999999994</c:v>
                </c:pt>
                <c:pt idx="8">
                  <c:v>81.7</c:v>
                </c:pt>
                <c:pt idx="9">
                  <c:v>81.400000000000006</c:v>
                </c:pt>
                <c:pt idx="10">
                  <c:v>81.7</c:v>
                </c:pt>
                <c:pt idx="11">
                  <c:v>81.5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C2E-46AF-A909-8565F2B2F6E3}"/>
            </c:ext>
          </c:extLst>
        </c:ser>
        <c:ser>
          <c:idx val="1"/>
          <c:order val="1"/>
          <c:tx>
            <c:strRef>
              <c:f>demografie!$A$106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demografie!$B$104:$M$104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demografie!$B$106:$M$106</c:f>
              <c:numCache>
                <c:formatCode>0.0</c:formatCode>
                <c:ptCount val="12"/>
                <c:pt idx="0">
                  <c:v>79</c:v>
                </c:pt>
                <c:pt idx="1">
                  <c:v>79.599999999999994</c:v>
                </c:pt>
                <c:pt idx="2">
                  <c:v>79.8</c:v>
                </c:pt>
                <c:pt idx="3">
                  <c:v>79.900000000000006</c:v>
                </c:pt>
                <c:pt idx="4">
                  <c:v>80.2</c:v>
                </c:pt>
                <c:pt idx="5">
                  <c:v>80.599999999999994</c:v>
                </c:pt>
                <c:pt idx="6">
                  <c:v>80.599999999999994</c:v>
                </c:pt>
                <c:pt idx="7">
                  <c:v>80.900000000000006</c:v>
                </c:pt>
                <c:pt idx="8">
                  <c:v>81.3</c:v>
                </c:pt>
                <c:pt idx="9">
                  <c:v>81.400000000000006</c:v>
                </c:pt>
                <c:pt idx="10">
                  <c:v>81.599999999999994</c:v>
                </c:pt>
                <c:pt idx="11">
                  <c:v>81.400000000000006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C2E-46AF-A909-8565F2B2F6E3}"/>
            </c:ext>
          </c:extLst>
        </c:ser>
        <c:ser>
          <c:idx val="2"/>
          <c:order val="2"/>
          <c:tx>
            <c:strRef>
              <c:f>demografie!$A$107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demografie!$B$104:$M$104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demografie!$B$107:$M$107</c:f>
              <c:numCache>
                <c:formatCode>General</c:formatCode>
                <c:ptCount val="12"/>
                <c:pt idx="2" formatCode="0.0">
                  <c:v>79</c:v>
                </c:pt>
                <c:pt idx="3" formatCode="0.0">
                  <c:v>79.5</c:v>
                </c:pt>
                <c:pt idx="4" formatCode="0.0">
                  <c:v>80</c:v>
                </c:pt>
                <c:pt idx="5" formatCode="0.0">
                  <c:v>80.099999999999994</c:v>
                </c:pt>
                <c:pt idx="6" formatCode="0.0">
                  <c:v>80.3</c:v>
                </c:pt>
                <c:pt idx="7" formatCode="0.0">
                  <c:v>80.7</c:v>
                </c:pt>
                <c:pt idx="8" formatCode="0.0">
                  <c:v>81</c:v>
                </c:pt>
                <c:pt idx="9" formatCode="0.0">
                  <c:v>81.2</c:v>
                </c:pt>
                <c:pt idx="10" formatCode="0.0">
                  <c:v>81.900000000000006</c:v>
                </c:pt>
                <c:pt idx="11" formatCode="0.0">
                  <c:v>82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C2E-46AF-A909-8565F2B2F6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852544"/>
        <c:axId val="96853328"/>
      </c:lineChart>
      <c:catAx>
        <c:axId val="96852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6853328"/>
        <c:crosses val="autoZero"/>
        <c:auto val="1"/>
        <c:lblAlgn val="ctr"/>
        <c:lblOffset val="100"/>
        <c:noMultiLvlLbl val="0"/>
      </c:catAx>
      <c:valAx>
        <c:axId val="96853328"/>
        <c:scaling>
          <c:orientation val="minMax"/>
          <c:min val="7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96852544"/>
        <c:crosses val="autoZero"/>
        <c:crossBetween val="between"/>
        <c:majorUnit val="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demografie!$A$81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demografie!$B$80:$M$80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demografie!$B$81:$M$81</c:f>
              <c:numCache>
                <c:formatCode>0.0</c:formatCode>
                <c:ptCount val="12"/>
                <c:pt idx="0">
                  <c:v>14.8</c:v>
                </c:pt>
                <c:pt idx="1">
                  <c:v>15</c:v>
                </c:pt>
                <c:pt idx="2">
                  <c:v>15.1</c:v>
                </c:pt>
                <c:pt idx="3">
                  <c:v>15.2</c:v>
                </c:pt>
                <c:pt idx="4">
                  <c:v>15.3</c:v>
                </c:pt>
                <c:pt idx="5">
                  <c:v>15.5</c:v>
                </c:pt>
                <c:pt idx="6">
                  <c:v>15.6</c:v>
                </c:pt>
                <c:pt idx="7">
                  <c:v>15.7</c:v>
                </c:pt>
                <c:pt idx="8">
                  <c:v>16</c:v>
                </c:pt>
                <c:pt idx="9">
                  <c:v>16</c:v>
                </c:pt>
                <c:pt idx="10">
                  <c:v>16.100000000000001</c:v>
                </c:pt>
                <c:pt idx="11">
                  <c:v>15.8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D39-47DC-8A1E-9842E4CB21EB}"/>
            </c:ext>
          </c:extLst>
        </c:ser>
        <c:ser>
          <c:idx val="1"/>
          <c:order val="1"/>
          <c:tx>
            <c:strRef>
              <c:f>demografie!$A$82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demografie!$B$80:$M$80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demografie!$B$82:$M$82</c:f>
              <c:numCache>
                <c:formatCode>0.0</c:formatCode>
                <c:ptCount val="12"/>
                <c:pt idx="0">
                  <c:v>14.2</c:v>
                </c:pt>
                <c:pt idx="1">
                  <c:v>14.5</c:v>
                </c:pt>
                <c:pt idx="2">
                  <c:v>14.8</c:v>
                </c:pt>
                <c:pt idx="3">
                  <c:v>14.9</c:v>
                </c:pt>
                <c:pt idx="4">
                  <c:v>14.9</c:v>
                </c:pt>
                <c:pt idx="5">
                  <c:v>15</c:v>
                </c:pt>
                <c:pt idx="6">
                  <c:v>15.2</c:v>
                </c:pt>
                <c:pt idx="7">
                  <c:v>15.4</c:v>
                </c:pt>
                <c:pt idx="8">
                  <c:v>15.6</c:v>
                </c:pt>
                <c:pt idx="9">
                  <c:v>16</c:v>
                </c:pt>
                <c:pt idx="10">
                  <c:v>16.2</c:v>
                </c:pt>
                <c:pt idx="11">
                  <c:v>15.7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D39-47DC-8A1E-9842E4CB21EB}"/>
            </c:ext>
          </c:extLst>
        </c:ser>
        <c:ser>
          <c:idx val="2"/>
          <c:order val="2"/>
          <c:tx>
            <c:strRef>
              <c:f>demografie!$A$83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demografie!$B$80:$M$80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demografie!$B$83:$M$83</c:f>
              <c:numCache>
                <c:formatCode>General</c:formatCode>
                <c:ptCount val="12"/>
                <c:pt idx="2" formatCode="0.0">
                  <c:v>14.3</c:v>
                </c:pt>
                <c:pt idx="3" formatCode="0.0">
                  <c:v>14.4</c:v>
                </c:pt>
                <c:pt idx="4" formatCode="0.0">
                  <c:v>14.4</c:v>
                </c:pt>
                <c:pt idx="5" formatCode="0.0">
                  <c:v>14.4</c:v>
                </c:pt>
                <c:pt idx="6" formatCode="0.0">
                  <c:v>14.6</c:v>
                </c:pt>
                <c:pt idx="7" formatCode="0.0">
                  <c:v>15.1</c:v>
                </c:pt>
                <c:pt idx="8" formatCode="0.0">
                  <c:v>15.3</c:v>
                </c:pt>
                <c:pt idx="9" formatCode="0.0">
                  <c:v>15.8</c:v>
                </c:pt>
                <c:pt idx="10" formatCode="0.0">
                  <c:v>16.100000000000001</c:v>
                </c:pt>
                <c:pt idx="11" formatCode="0.0">
                  <c:v>15.9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D39-47DC-8A1E-9842E4CB21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652920"/>
        <c:axId val="497653312"/>
      </c:lineChart>
      <c:catAx>
        <c:axId val="497652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653312"/>
        <c:crosses val="autoZero"/>
        <c:auto val="1"/>
        <c:lblAlgn val="ctr"/>
        <c:lblOffset val="100"/>
        <c:noMultiLvlLbl val="0"/>
      </c:catAx>
      <c:valAx>
        <c:axId val="497653312"/>
        <c:scaling>
          <c:orientation val="minMax"/>
          <c:max val="17"/>
          <c:min val="1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6529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demografie!$A$126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demografie!$B$125:$M$125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demografie!$B$126:$M$126</c:f>
              <c:numCache>
                <c:formatCode>0.0</c:formatCode>
                <c:ptCount val="12"/>
                <c:pt idx="0">
                  <c:v>18</c:v>
                </c:pt>
                <c:pt idx="1">
                  <c:v>18.2</c:v>
                </c:pt>
                <c:pt idx="2">
                  <c:v>18.399999999999999</c:v>
                </c:pt>
                <c:pt idx="3">
                  <c:v>18.3</c:v>
                </c:pt>
                <c:pt idx="4">
                  <c:v>18.7</c:v>
                </c:pt>
                <c:pt idx="5">
                  <c:v>18.8</c:v>
                </c:pt>
                <c:pt idx="6">
                  <c:v>18.899999999999999</c:v>
                </c:pt>
                <c:pt idx="7">
                  <c:v>19.100000000000001</c:v>
                </c:pt>
                <c:pt idx="8">
                  <c:v>19.5</c:v>
                </c:pt>
                <c:pt idx="9">
                  <c:v>19.3</c:v>
                </c:pt>
                <c:pt idx="10">
                  <c:v>19.600000000000001</c:v>
                </c:pt>
                <c:pt idx="11">
                  <c:v>19.3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23E-4B0C-8C25-96FEC25FF48E}"/>
            </c:ext>
          </c:extLst>
        </c:ser>
        <c:ser>
          <c:idx val="1"/>
          <c:order val="1"/>
          <c:tx>
            <c:strRef>
              <c:f>demografie!$A$127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demografie!$B$125:$M$125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demografie!$B$127:$M$127</c:f>
              <c:numCache>
                <c:formatCode>0.0</c:formatCode>
                <c:ptCount val="12"/>
                <c:pt idx="0">
                  <c:v>17.3</c:v>
                </c:pt>
                <c:pt idx="1">
                  <c:v>17.8</c:v>
                </c:pt>
                <c:pt idx="2">
                  <c:v>17.8</c:v>
                </c:pt>
                <c:pt idx="3">
                  <c:v>17.899999999999999</c:v>
                </c:pt>
                <c:pt idx="4">
                  <c:v>18.100000000000001</c:v>
                </c:pt>
                <c:pt idx="5">
                  <c:v>18.5</c:v>
                </c:pt>
                <c:pt idx="6">
                  <c:v>18.5</c:v>
                </c:pt>
                <c:pt idx="7">
                  <c:v>18.7</c:v>
                </c:pt>
                <c:pt idx="8">
                  <c:v>19</c:v>
                </c:pt>
                <c:pt idx="9">
                  <c:v>19.100000000000001</c:v>
                </c:pt>
                <c:pt idx="10">
                  <c:v>19.399999999999999</c:v>
                </c:pt>
                <c:pt idx="11">
                  <c:v>19.2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23E-4B0C-8C25-96FEC25FF48E}"/>
            </c:ext>
          </c:extLst>
        </c:ser>
        <c:ser>
          <c:idx val="2"/>
          <c:order val="2"/>
          <c:tx>
            <c:strRef>
              <c:f>demografie!$A$128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demografie!$B$125:$M$125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demografie!$B$128:$M$128</c:f>
              <c:numCache>
                <c:formatCode>General</c:formatCode>
                <c:ptCount val="12"/>
                <c:pt idx="2" formatCode="0.0">
                  <c:v>17.3</c:v>
                </c:pt>
                <c:pt idx="3" formatCode="0.0">
                  <c:v>17.600000000000001</c:v>
                </c:pt>
                <c:pt idx="4" formatCode="0.0">
                  <c:v>18</c:v>
                </c:pt>
                <c:pt idx="5" formatCode="0.0">
                  <c:v>18.3</c:v>
                </c:pt>
                <c:pt idx="6" formatCode="0.0">
                  <c:v>18.399999999999999</c:v>
                </c:pt>
                <c:pt idx="7" formatCode="0.0">
                  <c:v>18.7</c:v>
                </c:pt>
                <c:pt idx="8" formatCode="0.0">
                  <c:v>18.8</c:v>
                </c:pt>
                <c:pt idx="9" formatCode="0.0">
                  <c:v>19</c:v>
                </c:pt>
                <c:pt idx="10" formatCode="0.0">
                  <c:v>19.3</c:v>
                </c:pt>
                <c:pt idx="11" formatCode="0.0">
                  <c:v>19.399999999999999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23E-4B0C-8C25-96FEC25FF4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77062368"/>
        <c:axId val="577062760"/>
      </c:lineChart>
      <c:catAx>
        <c:axId val="577062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7062760"/>
        <c:crosses val="autoZero"/>
        <c:auto val="1"/>
        <c:lblAlgn val="ctr"/>
        <c:lblOffset val="100"/>
        <c:noMultiLvlLbl val="0"/>
      </c:catAx>
      <c:valAx>
        <c:axId val="577062760"/>
        <c:scaling>
          <c:orientation val="minMax"/>
          <c:min val="16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7706236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'[010104-2015-delka-zivota-ve-zdravi.xlsx]CR'!$A$23</c:f>
              <c:strCache>
                <c:ptCount val="1"/>
                <c:pt idx="0">
                  <c:v>zdravá délka života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'[010104-2015-delka-zivota-ve-zdravi.xlsx]CR'!$B$22:$E$22</c:f>
              <c:strCache>
                <c:ptCount val="4"/>
                <c:pt idx="0">
                  <c:v>muži 0</c:v>
                </c:pt>
                <c:pt idx="1">
                  <c:v>ženy 0</c:v>
                </c:pt>
                <c:pt idx="2">
                  <c:v>muži 65</c:v>
                </c:pt>
                <c:pt idx="3">
                  <c:v>ženy 65</c:v>
                </c:pt>
              </c:strCache>
            </c:strRef>
          </c:cat>
          <c:val>
            <c:numRef>
              <c:f>'[010104-2015-delka-zivota-ve-zdravi.xlsx]CR'!$B$23:$E$23</c:f>
              <c:numCache>
                <c:formatCode>General</c:formatCode>
                <c:ptCount val="4"/>
                <c:pt idx="0">
                  <c:v>62.4</c:v>
                </c:pt>
                <c:pt idx="1">
                  <c:v>63.7</c:v>
                </c:pt>
                <c:pt idx="2">
                  <c:v>8</c:v>
                </c:pt>
                <c:pt idx="3">
                  <c:v>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C7A-4AD9-A5F7-A1E53DCE65DD}"/>
            </c:ext>
          </c:extLst>
        </c:ser>
        <c:ser>
          <c:idx val="1"/>
          <c:order val="1"/>
          <c:tx>
            <c:strRef>
              <c:f>'[010104-2015-delka-zivota-ve-zdravi.xlsx]CR'!$A$24</c:f>
              <c:strCache>
                <c:ptCount val="1"/>
                <c:pt idx="0">
                  <c:v>střední délka života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'[010104-2015-delka-zivota-ve-zdravi.xlsx]CR'!$B$22:$E$22</c:f>
              <c:strCache>
                <c:ptCount val="4"/>
                <c:pt idx="0">
                  <c:v>muži 0</c:v>
                </c:pt>
                <c:pt idx="1">
                  <c:v>ženy 0</c:v>
                </c:pt>
                <c:pt idx="2">
                  <c:v>muži 65</c:v>
                </c:pt>
                <c:pt idx="3">
                  <c:v>ženy 65</c:v>
                </c:pt>
              </c:strCache>
            </c:strRef>
          </c:cat>
          <c:val>
            <c:numRef>
              <c:f>'[010104-2015-delka-zivota-ve-zdravi.xlsx]CR'!$B$24:$E$24</c:f>
              <c:numCache>
                <c:formatCode>General</c:formatCode>
                <c:ptCount val="4"/>
                <c:pt idx="0">
                  <c:v>75.8</c:v>
                </c:pt>
                <c:pt idx="1">
                  <c:v>81.400000000000006</c:v>
                </c:pt>
                <c:pt idx="2">
                  <c:v>16</c:v>
                </c:pt>
                <c:pt idx="3">
                  <c:v>19.3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C7A-4AD9-A5F7-A1E53DCE65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76676000"/>
        <c:axId val="583785184"/>
      </c:barChart>
      <c:catAx>
        <c:axId val="576676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cs-CZ"/>
          </a:p>
        </c:txPr>
        <c:crossAx val="583785184"/>
        <c:crosses val="autoZero"/>
        <c:auto val="1"/>
        <c:lblAlgn val="ctr"/>
        <c:lblOffset val="100"/>
        <c:noMultiLvlLbl val="0"/>
      </c:catAx>
      <c:valAx>
        <c:axId val="58378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cs-CZ"/>
          </a:p>
        </c:txPr>
        <c:crossAx val="57667600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</c:dTable>
      <c:spPr>
        <a:solidFill>
          <a:schemeClr val="bg1"/>
        </a:solidFill>
        <a:ln>
          <a:solidFill>
            <a:schemeClr val="bg1">
              <a:lumMod val="65000"/>
            </a:schemeClr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chemeClr val="bg1">
          <a:lumMod val="65000"/>
        </a:schemeClr>
      </a:solidFill>
      <a:round/>
    </a:ln>
    <a:effectLst/>
  </c:spPr>
  <c:txPr>
    <a:bodyPr/>
    <a:lstStyle/>
    <a:p>
      <a:pPr>
        <a:defRPr>
          <a:latin typeface="+mj-lt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2019-10-10T10:18:00Z</dcterms:created>
  <dcterms:modified xsi:type="dcterms:W3CDTF">2019-10-10T10:18:00Z</dcterms:modified>
</cp:coreProperties>
</file>