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0DB" w:rsidRPr="009E384F" w:rsidRDefault="0044636E" w:rsidP="000C70DB">
      <w:pPr>
        <w:pStyle w:val="Titulek"/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</w:pPr>
      <w:bookmarkStart w:id="0" w:name="_Toc333832783"/>
      <w:bookmarkStart w:id="1" w:name="_Toc333832708"/>
      <w:r>
        <w:rPr>
          <w:rFonts w:asciiTheme="majorHAnsi" w:hAnsiTheme="majorHAnsi" w:cstheme="majorHAnsi"/>
          <w:b w:val="0"/>
          <w:i/>
          <w:color w:val="auto"/>
          <w:sz w:val="24"/>
          <w:szCs w:val="24"/>
        </w:rPr>
        <w:t>Tabulka</w:t>
      </w:r>
      <w:r w:rsidR="000C70DB" w:rsidRPr="009E384F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 xml:space="preserve">: </w:t>
      </w:r>
      <w:r w:rsidR="000C70DB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>P</w:t>
      </w:r>
      <w:r w:rsidR="000C70DB" w:rsidRPr="009E384F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 xml:space="preserve">očet zemřelých osob v SO ORP </w:t>
      </w:r>
      <w:r w:rsidR="000C70DB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>Benešov</w:t>
      </w:r>
      <w:r w:rsidR="000C70DB" w:rsidRPr="009E384F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 xml:space="preserve"> v letech 200</w:t>
      </w:r>
      <w:r w:rsidR="000C70DB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>6-</w:t>
      </w:r>
      <w:r w:rsidR="000C70DB" w:rsidRPr="009E384F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>201</w:t>
      </w:r>
      <w:bookmarkEnd w:id="0"/>
      <w:r w:rsidR="000C70DB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>7</w:t>
      </w:r>
      <w:r w:rsidR="000C70DB" w:rsidRPr="009E384F">
        <w:rPr>
          <w:rFonts w:asciiTheme="majorHAnsi" w:hAnsiTheme="majorHAnsi" w:cstheme="majorHAnsi"/>
          <w:b w:val="0"/>
          <w:bCs w:val="0"/>
          <w:i/>
          <w:color w:val="auto"/>
          <w:sz w:val="24"/>
          <w:szCs w:val="24"/>
        </w:rPr>
        <w:t>, muži i ženy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7"/>
        <w:gridCol w:w="606"/>
        <w:gridCol w:w="605"/>
        <w:gridCol w:w="605"/>
        <w:gridCol w:w="605"/>
        <w:gridCol w:w="605"/>
        <w:gridCol w:w="605"/>
        <w:gridCol w:w="605"/>
        <w:gridCol w:w="605"/>
        <w:gridCol w:w="587"/>
        <w:gridCol w:w="587"/>
        <w:gridCol w:w="587"/>
        <w:gridCol w:w="587"/>
      </w:tblGrid>
      <w:tr w:rsidR="000C70DB" w:rsidRPr="009E384F" w:rsidTr="004D3AC5">
        <w:trPr>
          <w:trHeight w:val="300"/>
          <w:jc w:val="center"/>
        </w:trPr>
        <w:tc>
          <w:tcPr>
            <w:tcW w:w="1030" w:type="pct"/>
            <w:shd w:val="clear" w:color="auto" w:fill="auto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</w:p>
        </w:tc>
        <w:tc>
          <w:tcPr>
            <w:tcW w:w="334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2006</w:t>
            </w:r>
          </w:p>
        </w:tc>
        <w:tc>
          <w:tcPr>
            <w:tcW w:w="334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2007</w:t>
            </w:r>
          </w:p>
        </w:tc>
        <w:tc>
          <w:tcPr>
            <w:tcW w:w="334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2008</w:t>
            </w:r>
          </w:p>
        </w:tc>
        <w:tc>
          <w:tcPr>
            <w:tcW w:w="334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2009</w:t>
            </w:r>
          </w:p>
        </w:tc>
        <w:tc>
          <w:tcPr>
            <w:tcW w:w="334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2010</w:t>
            </w:r>
          </w:p>
        </w:tc>
        <w:tc>
          <w:tcPr>
            <w:tcW w:w="334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2011</w:t>
            </w:r>
          </w:p>
        </w:tc>
        <w:tc>
          <w:tcPr>
            <w:tcW w:w="334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2012</w:t>
            </w:r>
          </w:p>
        </w:tc>
        <w:tc>
          <w:tcPr>
            <w:tcW w:w="334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2013</w:t>
            </w:r>
          </w:p>
        </w:tc>
        <w:tc>
          <w:tcPr>
            <w:tcW w:w="324" w:type="pct"/>
            <w:shd w:val="clear" w:color="auto" w:fill="FFF2CC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2014</w:t>
            </w:r>
          </w:p>
        </w:tc>
        <w:tc>
          <w:tcPr>
            <w:tcW w:w="324" w:type="pct"/>
            <w:shd w:val="clear" w:color="auto" w:fill="FFF2CC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2015</w:t>
            </w:r>
          </w:p>
        </w:tc>
        <w:tc>
          <w:tcPr>
            <w:tcW w:w="324" w:type="pct"/>
            <w:shd w:val="clear" w:color="auto" w:fill="FFF2CC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2016</w:t>
            </w:r>
          </w:p>
        </w:tc>
        <w:tc>
          <w:tcPr>
            <w:tcW w:w="324" w:type="pct"/>
            <w:shd w:val="clear" w:color="auto" w:fill="FFF2CC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sz w:val="22"/>
                <w:lang w:eastAsia="cs-CZ"/>
              </w:rPr>
              <w:t>2017</w:t>
            </w:r>
          </w:p>
        </w:tc>
      </w:tr>
      <w:tr w:rsidR="000C70DB" w:rsidRPr="009E384F" w:rsidTr="004D3AC5">
        <w:trPr>
          <w:trHeight w:val="300"/>
          <w:jc w:val="center"/>
        </w:trPr>
        <w:tc>
          <w:tcPr>
            <w:tcW w:w="1030" w:type="pct"/>
            <w:shd w:val="clear" w:color="auto" w:fill="FFF2CC"/>
            <w:noWrap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 w:rsidRPr="009E384F">
              <w:rPr>
                <w:rFonts w:asciiTheme="majorHAnsi" w:hAnsiTheme="majorHAnsi" w:cstheme="majorHAnsi"/>
                <w:color w:val="000000"/>
                <w:lang w:eastAsia="cs-CZ"/>
              </w:rPr>
              <w:t>počet zemřelých</w:t>
            </w:r>
          </w:p>
        </w:tc>
        <w:tc>
          <w:tcPr>
            <w:tcW w:w="33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570</w:t>
            </w:r>
          </w:p>
        </w:tc>
        <w:tc>
          <w:tcPr>
            <w:tcW w:w="33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539</w:t>
            </w:r>
          </w:p>
        </w:tc>
        <w:tc>
          <w:tcPr>
            <w:tcW w:w="33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589</w:t>
            </w:r>
          </w:p>
        </w:tc>
        <w:tc>
          <w:tcPr>
            <w:tcW w:w="33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622</w:t>
            </w:r>
          </w:p>
        </w:tc>
        <w:tc>
          <w:tcPr>
            <w:tcW w:w="33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606</w:t>
            </w:r>
          </w:p>
        </w:tc>
        <w:tc>
          <w:tcPr>
            <w:tcW w:w="33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610</w:t>
            </w:r>
          </w:p>
        </w:tc>
        <w:tc>
          <w:tcPr>
            <w:tcW w:w="33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574</w:t>
            </w:r>
          </w:p>
        </w:tc>
        <w:tc>
          <w:tcPr>
            <w:tcW w:w="33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567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549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580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573</w:t>
            </w:r>
          </w:p>
        </w:tc>
        <w:tc>
          <w:tcPr>
            <w:tcW w:w="324" w:type="pct"/>
            <w:shd w:val="clear" w:color="000000" w:fill="FFFFFF"/>
            <w:vAlign w:val="center"/>
          </w:tcPr>
          <w:p w:rsidR="000C70DB" w:rsidRPr="009E384F" w:rsidRDefault="000C70DB" w:rsidP="004D3AC5">
            <w:pPr>
              <w:spacing w:before="120" w:after="120"/>
              <w:jc w:val="center"/>
              <w:rPr>
                <w:rFonts w:asciiTheme="majorHAnsi" w:hAnsiTheme="majorHAnsi" w:cstheme="majorHAnsi"/>
                <w:color w:val="000000"/>
                <w:lang w:eastAsia="cs-CZ"/>
              </w:rPr>
            </w:pPr>
            <w:r>
              <w:rPr>
                <w:color w:val="000000"/>
                <w:sz w:val="22"/>
              </w:rPr>
              <w:t>648</w:t>
            </w:r>
          </w:p>
        </w:tc>
      </w:tr>
    </w:tbl>
    <w:p w:rsidR="000C70DB" w:rsidRPr="000C6D39" w:rsidRDefault="0044636E" w:rsidP="000C70DB">
      <w:pPr>
        <w:spacing w:before="200" w:after="120"/>
        <w:rPr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r w:rsidR="000C70DB" w:rsidRPr="000C6D39">
        <w:rPr>
          <w:rFonts w:asciiTheme="majorHAnsi" w:hAnsiTheme="majorHAnsi" w:cstheme="majorHAnsi"/>
          <w:i/>
          <w:iCs/>
          <w:szCs w:val="24"/>
        </w:rPr>
        <w:t>: Celková úmrtnost (SDR) v  </w:t>
      </w:r>
      <w:r w:rsidR="000C70DB" w:rsidRPr="000C6D39">
        <w:rPr>
          <w:i/>
          <w:iCs/>
          <w:szCs w:val="24"/>
        </w:rPr>
        <w:t xml:space="preserve">SO ORP Benešov, České republice a Středočeském kraji v letech 2006 až 2017, </w:t>
      </w:r>
      <w:r w:rsidR="000C70DB">
        <w:rPr>
          <w:i/>
          <w:iCs/>
          <w:szCs w:val="24"/>
        </w:rPr>
        <w:t xml:space="preserve">muži a </w:t>
      </w:r>
      <w:r w:rsidR="000C70DB" w:rsidRPr="000C6D39">
        <w:rPr>
          <w:i/>
          <w:iCs/>
          <w:szCs w:val="24"/>
        </w:rPr>
        <w:t xml:space="preserve">ženy </w:t>
      </w:r>
      <w:r w:rsidR="000C70DB">
        <w:rPr>
          <w:i/>
          <w:iCs/>
          <w:szCs w:val="24"/>
        </w:rPr>
        <w:t>celkem</w:t>
      </w:r>
    </w:p>
    <w:p w:rsidR="000C70DB" w:rsidRPr="009E384F" w:rsidRDefault="000C70DB" w:rsidP="000C70DB">
      <w:pPr>
        <w:rPr>
          <w:rFonts w:asciiTheme="majorHAnsi" w:hAnsiTheme="majorHAnsi" w:cstheme="majorHAnsi"/>
        </w:rPr>
      </w:pPr>
      <w:r>
        <w:rPr>
          <w:noProof/>
          <w:lang w:eastAsia="cs-CZ"/>
        </w:rPr>
        <w:drawing>
          <wp:inline distT="0" distB="0" distL="0" distR="0" wp14:anchorId="436C889F" wp14:editId="35C21FB8">
            <wp:extent cx="5760000" cy="3600000"/>
            <wp:effectExtent l="0" t="0" r="12700" b="635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bookmarkEnd w:id="1"/>
    <w:p w:rsidR="000C70DB" w:rsidRPr="009E384F" w:rsidRDefault="0044636E" w:rsidP="000C70DB">
      <w:pP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r w:rsidR="000C70DB" w:rsidRPr="009E384F">
        <w:rPr>
          <w:rFonts w:asciiTheme="majorHAnsi" w:hAnsiTheme="majorHAnsi" w:cstheme="majorHAnsi"/>
          <w:i/>
          <w:iCs/>
          <w:szCs w:val="24"/>
        </w:rPr>
        <w:t xml:space="preserve">: Celková úmrtnost (SDR) v SO ORP </w:t>
      </w:r>
      <w:r w:rsidR="000C70DB">
        <w:rPr>
          <w:rFonts w:asciiTheme="majorHAnsi" w:hAnsiTheme="majorHAnsi" w:cstheme="majorHAnsi"/>
          <w:i/>
          <w:iCs/>
          <w:szCs w:val="24"/>
        </w:rPr>
        <w:t>Benešov</w:t>
      </w:r>
      <w:r w:rsidR="000C70DB" w:rsidRPr="009E384F">
        <w:rPr>
          <w:rFonts w:asciiTheme="majorHAnsi" w:hAnsiTheme="majorHAnsi" w:cstheme="majorHAnsi"/>
          <w:i/>
          <w:iCs/>
          <w:szCs w:val="24"/>
        </w:rPr>
        <w:t xml:space="preserve"> v letech 2006</w:t>
      </w:r>
      <w:r w:rsidR="000C70DB">
        <w:rPr>
          <w:rFonts w:asciiTheme="majorHAnsi" w:hAnsiTheme="majorHAnsi" w:cstheme="majorHAnsi"/>
          <w:i/>
          <w:iCs/>
          <w:szCs w:val="24"/>
        </w:rPr>
        <w:t xml:space="preserve"> až </w:t>
      </w:r>
      <w:r w:rsidR="000C70DB" w:rsidRPr="009E384F">
        <w:rPr>
          <w:rFonts w:asciiTheme="majorHAnsi" w:hAnsiTheme="majorHAnsi" w:cstheme="majorHAnsi"/>
          <w:i/>
          <w:iCs/>
          <w:szCs w:val="24"/>
        </w:rPr>
        <w:t>2017</w:t>
      </w:r>
      <w:r w:rsidR="000C70DB"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, srovnání mužů a</w:t>
      </w:r>
      <w:r w:rsidR="000C70DB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 </w:t>
      </w:r>
      <w:r w:rsidR="000C70DB"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žen </w:t>
      </w:r>
    </w:p>
    <w:p w:rsidR="000C70DB" w:rsidRPr="009E384F" w:rsidRDefault="000C70DB" w:rsidP="000C70DB">
      <w:pPr>
        <w:tabs>
          <w:tab w:val="left" w:pos="0"/>
        </w:tabs>
        <w:jc w:val="center"/>
        <w:rPr>
          <w:rFonts w:asciiTheme="majorHAnsi" w:hAnsiTheme="majorHAnsi" w:cstheme="majorHAnsi"/>
        </w:rPr>
      </w:pPr>
      <w:r>
        <w:rPr>
          <w:noProof/>
          <w:lang w:eastAsia="cs-CZ"/>
        </w:rPr>
        <w:drawing>
          <wp:inline distT="0" distB="0" distL="0" distR="0" wp14:anchorId="73479528" wp14:editId="1C320C08">
            <wp:extent cx="5362575" cy="3248025"/>
            <wp:effectExtent l="0" t="0" r="9525" b="9525"/>
            <wp:docPr id="14" name="Graf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0C70DB" w:rsidRDefault="0044636E" w:rsidP="000C70DB">
      <w:pPr>
        <w:tabs>
          <w:tab w:val="left" w:pos="0"/>
        </w:tabs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</w:pPr>
      <w:r>
        <w:rPr>
          <w:rFonts w:asciiTheme="majorHAnsi" w:hAnsiTheme="majorHAnsi" w:cstheme="majorHAnsi"/>
          <w:i/>
          <w:iCs/>
          <w:szCs w:val="24"/>
        </w:rPr>
        <w:lastRenderedPageBreak/>
        <w:t>Graf</w:t>
      </w:r>
      <w:r w:rsidR="000C70DB"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 w:rsidR="000C70DB">
        <w:rPr>
          <w:rFonts w:asciiTheme="majorHAnsi" w:hAnsiTheme="majorHAnsi" w:cstheme="majorHAnsi"/>
          <w:i/>
          <w:iCs/>
          <w:szCs w:val="24"/>
        </w:rPr>
        <w:t xml:space="preserve">Standardizovaná </w:t>
      </w:r>
      <w:r w:rsidR="000C70DB" w:rsidRPr="009E384F">
        <w:rPr>
          <w:rFonts w:asciiTheme="majorHAnsi" w:hAnsiTheme="majorHAnsi" w:cstheme="majorHAnsi"/>
          <w:i/>
          <w:iCs/>
          <w:szCs w:val="24"/>
        </w:rPr>
        <w:t xml:space="preserve">úmrtnost </w:t>
      </w:r>
      <w:r w:rsidR="000C70DB">
        <w:rPr>
          <w:rFonts w:asciiTheme="majorHAnsi" w:hAnsiTheme="majorHAnsi" w:cstheme="majorHAnsi"/>
          <w:i/>
          <w:iCs/>
          <w:szCs w:val="24"/>
        </w:rPr>
        <w:t>na poranění a otravy</w:t>
      </w:r>
      <w:r w:rsidR="000C70DB" w:rsidRPr="009E384F">
        <w:rPr>
          <w:rFonts w:asciiTheme="majorHAnsi" w:hAnsiTheme="majorHAnsi" w:cstheme="majorHAnsi"/>
          <w:i/>
          <w:iCs/>
          <w:szCs w:val="24"/>
        </w:rPr>
        <w:t xml:space="preserve"> </w:t>
      </w:r>
      <w:r w:rsidR="000C70DB" w:rsidRPr="000C6D39">
        <w:rPr>
          <w:rFonts w:asciiTheme="majorHAnsi" w:hAnsiTheme="majorHAnsi" w:cstheme="majorHAnsi"/>
          <w:i/>
          <w:iCs/>
          <w:szCs w:val="24"/>
        </w:rPr>
        <w:t>v </w:t>
      </w:r>
      <w:r w:rsidR="000C70DB" w:rsidRPr="000C6D39">
        <w:rPr>
          <w:i/>
          <w:iCs/>
          <w:szCs w:val="24"/>
        </w:rPr>
        <w:t xml:space="preserve">SO ORP Benešov, České republice a Středočeském </w:t>
      </w:r>
      <w:r w:rsidR="000C70DB">
        <w:rPr>
          <w:i/>
          <w:iCs/>
          <w:szCs w:val="24"/>
        </w:rPr>
        <w:t>k</w:t>
      </w:r>
      <w:r w:rsidR="000C70DB" w:rsidRPr="000C6D39">
        <w:rPr>
          <w:i/>
          <w:iCs/>
          <w:szCs w:val="24"/>
        </w:rPr>
        <w:t xml:space="preserve">raji v letech 2006 až 2017, </w:t>
      </w:r>
      <w:r w:rsidR="000C70DB">
        <w:rPr>
          <w:i/>
          <w:iCs/>
          <w:szCs w:val="24"/>
        </w:rPr>
        <w:t xml:space="preserve">muži a </w:t>
      </w:r>
      <w:r w:rsidR="000C70DB" w:rsidRPr="000C6D39">
        <w:rPr>
          <w:i/>
          <w:iCs/>
          <w:szCs w:val="24"/>
        </w:rPr>
        <w:t>ženy</w:t>
      </w:r>
      <w:r w:rsidR="000C70DB" w:rsidRPr="009E384F">
        <w:rPr>
          <w:rFonts w:asciiTheme="majorHAnsi" w:hAnsiTheme="majorHAnsi" w:cstheme="majorHAnsi"/>
          <w:i/>
          <w:iCs/>
          <w:szCs w:val="24"/>
        </w:rPr>
        <w:t> </w:t>
      </w:r>
      <w:r w:rsidR="000C70DB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celkem</w:t>
      </w:r>
      <w:r w:rsidR="000C70DB"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="000C70DB"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0C70DB" w:rsidRDefault="000C70DB" w:rsidP="000C70DB">
      <w:pPr>
        <w:spacing w:before="200"/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</w:pPr>
      <w:r>
        <w:rPr>
          <w:noProof/>
          <w:lang w:eastAsia="cs-CZ"/>
        </w:rPr>
        <w:drawing>
          <wp:inline distT="0" distB="0" distL="0" distR="0" wp14:anchorId="208054F2" wp14:editId="76479922">
            <wp:extent cx="5761355" cy="3600000"/>
            <wp:effectExtent l="0" t="0" r="10795" b="635"/>
            <wp:docPr id="11" name="Graf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</w:p>
    <w:p w:rsidR="000C70DB" w:rsidRDefault="000C70DB" w:rsidP="000C70DB">
      <w:pPr>
        <w:spacing w:before="200"/>
        <w:jc w:val="left"/>
      </w:pPr>
      <w:r>
        <w:rPr>
          <w:rFonts w:asciiTheme="majorHAnsi" w:hAnsiTheme="majorHAnsi" w:cstheme="majorHAnsi"/>
          <w:i/>
          <w:iCs/>
          <w:szCs w:val="24"/>
        </w:rPr>
        <w:t>G</w:t>
      </w:r>
      <w:r w:rsidR="0044636E">
        <w:rPr>
          <w:rFonts w:asciiTheme="majorHAnsi" w:hAnsiTheme="majorHAnsi" w:cstheme="majorHAnsi"/>
          <w:i/>
          <w:iCs/>
          <w:szCs w:val="24"/>
        </w:rPr>
        <w:t>raf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>
        <w:rPr>
          <w:rFonts w:asciiTheme="majorHAnsi" w:hAnsiTheme="majorHAnsi" w:cstheme="majorHAnsi"/>
          <w:i/>
          <w:iCs/>
          <w:szCs w:val="24"/>
        </w:rPr>
        <w:t xml:space="preserve">Standardizovaná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úmrtnost </w:t>
      </w:r>
      <w:r>
        <w:rPr>
          <w:rFonts w:asciiTheme="majorHAnsi" w:hAnsiTheme="majorHAnsi" w:cstheme="majorHAnsi"/>
          <w:i/>
          <w:iCs/>
          <w:szCs w:val="24"/>
        </w:rPr>
        <w:t>na poranění a otravy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v SO ORP </w:t>
      </w:r>
      <w:r>
        <w:rPr>
          <w:rFonts w:asciiTheme="majorHAnsi" w:hAnsiTheme="majorHAnsi" w:cstheme="majorHAnsi"/>
          <w:i/>
          <w:iCs/>
          <w:szCs w:val="24"/>
        </w:rPr>
        <w:t>Benešov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v</w:t>
      </w:r>
      <w:r>
        <w:rPr>
          <w:rFonts w:asciiTheme="majorHAnsi" w:hAnsiTheme="majorHAnsi" w:cstheme="majorHAnsi"/>
          <w:i/>
          <w:iCs/>
          <w:szCs w:val="24"/>
        </w:rPr>
        <w:t> </w:t>
      </w:r>
      <w:r w:rsidRPr="009E384F">
        <w:rPr>
          <w:rFonts w:asciiTheme="majorHAnsi" w:hAnsiTheme="majorHAnsi" w:cstheme="majorHAnsi"/>
          <w:i/>
          <w:iCs/>
          <w:szCs w:val="24"/>
        </w:rPr>
        <w:t>letech</w:t>
      </w:r>
      <w:r>
        <w:rPr>
          <w:rFonts w:asciiTheme="majorHAnsi" w:hAnsiTheme="majorHAnsi" w:cstheme="majorHAnsi"/>
          <w:i/>
          <w:iCs/>
          <w:szCs w:val="24"/>
        </w:rPr>
        <w:t xml:space="preserve"> 2006 až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2017, </w:t>
      </w:r>
      <w:r>
        <w:rPr>
          <w:rFonts w:asciiTheme="majorHAnsi" w:hAnsiTheme="majorHAnsi" w:cstheme="majorHAnsi"/>
          <w:i/>
          <w:iCs/>
          <w:szCs w:val="24"/>
        </w:rPr>
        <w:t xml:space="preserve">srovnání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ů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a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žen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0C70DB" w:rsidRDefault="000C70DB" w:rsidP="000C70DB">
      <w:r>
        <w:rPr>
          <w:noProof/>
          <w:lang w:eastAsia="cs-CZ"/>
        </w:rPr>
        <w:drawing>
          <wp:inline distT="0" distB="0" distL="0" distR="0" wp14:anchorId="7EC004EB" wp14:editId="2789AEB9">
            <wp:extent cx="5761355" cy="3600000"/>
            <wp:effectExtent l="0" t="0" r="10795" b="635"/>
            <wp:docPr id="49" name="Graf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4636E" w:rsidRDefault="0044636E" w:rsidP="000C70DB">
      <w:pPr>
        <w:tabs>
          <w:tab w:val="left" w:pos="0"/>
        </w:tabs>
        <w:rPr>
          <w:rFonts w:asciiTheme="majorHAnsi" w:hAnsiTheme="majorHAnsi" w:cstheme="majorHAnsi"/>
          <w:i/>
          <w:iCs/>
          <w:szCs w:val="24"/>
        </w:rPr>
      </w:pPr>
    </w:p>
    <w:p w:rsidR="000C70DB" w:rsidRDefault="000C70DB" w:rsidP="000C70DB">
      <w:pPr>
        <w:tabs>
          <w:tab w:val="left" w:pos="0"/>
        </w:tabs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</w:pPr>
      <w:r>
        <w:rPr>
          <w:rFonts w:asciiTheme="majorHAnsi" w:hAnsiTheme="majorHAnsi" w:cstheme="majorHAnsi"/>
          <w:i/>
          <w:iCs/>
          <w:szCs w:val="24"/>
        </w:rPr>
        <w:lastRenderedPageBreak/>
        <w:t>G</w:t>
      </w:r>
      <w:r w:rsidR="0044636E">
        <w:rPr>
          <w:rFonts w:asciiTheme="majorHAnsi" w:hAnsiTheme="majorHAnsi" w:cstheme="majorHAnsi"/>
          <w:i/>
          <w:iCs/>
          <w:szCs w:val="24"/>
        </w:rPr>
        <w:t>raf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>
        <w:rPr>
          <w:rFonts w:asciiTheme="majorHAnsi" w:hAnsiTheme="majorHAnsi" w:cstheme="majorHAnsi"/>
          <w:i/>
          <w:iCs/>
          <w:szCs w:val="24"/>
        </w:rPr>
        <w:t>Novorozenecká úmrtnost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>
        <w:rPr>
          <w:i/>
          <w:iCs/>
          <w:szCs w:val="24"/>
        </w:rPr>
        <w:t xml:space="preserve">chlapci a dívky 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0C70DB" w:rsidRDefault="000C70DB" w:rsidP="000C70DB">
      <w:pPr>
        <w:tabs>
          <w:tab w:val="left" w:pos="0"/>
        </w:tabs>
        <w:jc w:val="left"/>
      </w:pPr>
      <w:r>
        <w:rPr>
          <w:noProof/>
          <w:lang w:eastAsia="cs-CZ"/>
        </w:rPr>
        <w:drawing>
          <wp:inline distT="0" distB="0" distL="0" distR="0" wp14:anchorId="78090E10" wp14:editId="0E6D811D">
            <wp:extent cx="5761355" cy="3600000"/>
            <wp:effectExtent l="0" t="0" r="10795" b="635"/>
            <wp:docPr id="35" name="Graf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0C70DB" w:rsidRDefault="000C70DB" w:rsidP="000C70DB">
      <w:pPr>
        <w:tabs>
          <w:tab w:val="left" w:pos="0"/>
        </w:tabs>
        <w:rPr>
          <w:rFonts w:asciiTheme="majorHAnsi" w:hAnsiTheme="majorHAnsi" w:cstheme="majorHAnsi"/>
          <w:i/>
          <w:iCs/>
          <w:szCs w:val="24"/>
        </w:rPr>
      </w:pPr>
    </w:p>
    <w:p w:rsidR="000C70DB" w:rsidRDefault="000C70DB" w:rsidP="000C70DB">
      <w:pPr>
        <w:tabs>
          <w:tab w:val="left" w:pos="0"/>
        </w:tabs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</w:pPr>
      <w:r>
        <w:rPr>
          <w:rFonts w:asciiTheme="majorHAnsi" w:hAnsiTheme="majorHAnsi" w:cstheme="majorHAnsi"/>
          <w:i/>
          <w:iCs/>
          <w:szCs w:val="24"/>
        </w:rPr>
        <w:t>G</w:t>
      </w:r>
      <w:r w:rsidR="0044636E">
        <w:rPr>
          <w:rFonts w:asciiTheme="majorHAnsi" w:hAnsiTheme="majorHAnsi" w:cstheme="majorHAnsi"/>
          <w:i/>
          <w:iCs/>
          <w:szCs w:val="24"/>
        </w:rPr>
        <w:t>raf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>
        <w:rPr>
          <w:rFonts w:asciiTheme="majorHAnsi" w:hAnsiTheme="majorHAnsi" w:cstheme="majorHAnsi"/>
          <w:i/>
          <w:iCs/>
          <w:szCs w:val="24"/>
        </w:rPr>
        <w:t>Kojenecká úmrtnost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>
        <w:rPr>
          <w:i/>
          <w:iCs/>
          <w:szCs w:val="24"/>
        </w:rPr>
        <w:t>chlapci a dívky</w:t>
      </w:r>
      <w:r w:rsidRPr="009E384F">
        <w:rPr>
          <w:rFonts w:asciiTheme="majorHAnsi" w:hAnsiTheme="majorHAnsi" w:cstheme="majorHAnsi"/>
          <w:i/>
          <w:iCs/>
          <w:szCs w:val="24"/>
        </w:rPr>
        <w:t> 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 </w:t>
      </w:r>
    </w:p>
    <w:p w:rsidR="0044636E" w:rsidRDefault="000C70DB" w:rsidP="0044636E">
      <w:pPr>
        <w:jc w:val="left"/>
        <w:rPr>
          <w:rFonts w:asciiTheme="majorHAnsi" w:hAnsiTheme="majorHAnsi" w:cstheme="majorHAnsi"/>
          <w:i/>
          <w:szCs w:val="24"/>
        </w:rPr>
      </w:pPr>
      <w:r>
        <w:rPr>
          <w:noProof/>
          <w:lang w:eastAsia="cs-CZ"/>
        </w:rPr>
        <w:drawing>
          <wp:inline distT="0" distB="0" distL="0" distR="0" wp14:anchorId="19FEEE69" wp14:editId="640CE073">
            <wp:extent cx="5761355" cy="3600000"/>
            <wp:effectExtent l="0" t="0" r="10795" b="635"/>
            <wp:docPr id="36" name="Graf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Start w:id="2" w:name="_Toc333832714"/>
    </w:p>
    <w:p w:rsidR="0044636E" w:rsidRPr="0044636E" w:rsidRDefault="0044636E" w:rsidP="0044636E">
      <w:pPr>
        <w:jc w:val="left"/>
      </w:pPr>
      <w:r w:rsidRPr="000C59C6">
        <w:rPr>
          <w:rFonts w:asciiTheme="majorHAnsi" w:hAnsiTheme="majorHAnsi" w:cstheme="majorHAnsi"/>
          <w:i/>
          <w:szCs w:val="24"/>
        </w:rPr>
        <w:lastRenderedPageBreak/>
        <w:t xml:space="preserve">Graf: Struktura příčin úmrtí </w:t>
      </w:r>
      <w:r>
        <w:rPr>
          <w:rFonts w:asciiTheme="majorHAnsi" w:hAnsiTheme="majorHAnsi" w:cstheme="majorHAnsi"/>
          <w:i/>
          <w:szCs w:val="24"/>
        </w:rPr>
        <w:t xml:space="preserve">v </w:t>
      </w:r>
      <w:bookmarkStart w:id="3" w:name="_GoBack"/>
      <w:bookmarkEnd w:id="3"/>
      <w:r w:rsidRPr="000C59C6">
        <w:rPr>
          <w:rFonts w:asciiTheme="majorHAnsi" w:hAnsiTheme="majorHAnsi" w:cstheme="majorHAnsi"/>
          <w:i/>
          <w:szCs w:val="24"/>
        </w:rPr>
        <w:t xml:space="preserve"> SO ORP </w:t>
      </w:r>
      <w:r>
        <w:rPr>
          <w:rFonts w:asciiTheme="majorHAnsi" w:hAnsiTheme="majorHAnsi" w:cstheme="majorHAnsi"/>
          <w:i/>
          <w:szCs w:val="24"/>
        </w:rPr>
        <w:t>Benešov</w:t>
      </w:r>
      <w:r w:rsidRPr="000C59C6">
        <w:rPr>
          <w:rFonts w:asciiTheme="majorHAnsi" w:hAnsiTheme="majorHAnsi" w:cstheme="majorHAnsi"/>
          <w:i/>
          <w:szCs w:val="24"/>
        </w:rPr>
        <w:t>, průměr z let 2013</w:t>
      </w:r>
      <w:r>
        <w:rPr>
          <w:rFonts w:asciiTheme="majorHAnsi" w:hAnsiTheme="majorHAnsi" w:cstheme="majorHAnsi"/>
          <w:i/>
          <w:szCs w:val="24"/>
        </w:rPr>
        <w:t xml:space="preserve"> až </w:t>
      </w:r>
      <w:r w:rsidRPr="000C59C6">
        <w:rPr>
          <w:rFonts w:asciiTheme="majorHAnsi" w:hAnsiTheme="majorHAnsi" w:cstheme="majorHAnsi"/>
          <w:i/>
          <w:szCs w:val="24"/>
        </w:rPr>
        <w:t>201</w:t>
      </w:r>
      <w:bookmarkEnd w:id="2"/>
      <w:r w:rsidRPr="000C59C6">
        <w:rPr>
          <w:rFonts w:asciiTheme="majorHAnsi" w:hAnsiTheme="majorHAnsi" w:cstheme="majorHAnsi"/>
          <w:i/>
          <w:szCs w:val="24"/>
        </w:rPr>
        <w:t xml:space="preserve">7, muži i ženy celkem </w:t>
      </w:r>
    </w:p>
    <w:p w:rsidR="00AA3513" w:rsidRPr="005E4727" w:rsidRDefault="0044636E" w:rsidP="005E4727">
      <w:pPr>
        <w:pStyle w:val="Titulek"/>
        <w:rPr>
          <w:rFonts w:asciiTheme="majorHAnsi" w:hAnsiTheme="majorHAnsi" w:cstheme="majorHAnsi"/>
          <w:b w:val="0"/>
          <w:color w:val="auto"/>
          <w:sz w:val="22"/>
          <w:szCs w:val="22"/>
        </w:rPr>
      </w:pP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152178C2" wp14:editId="4022655F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808000" cy="3312000"/>
            <wp:effectExtent l="0" t="0" r="11430" b="3175"/>
            <wp:wrapNone/>
            <wp:docPr id="44" name="Graf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3513" w:rsidRPr="005E4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78E2" w:rsidRDefault="00DE78E2" w:rsidP="004A4E57">
      <w:pPr>
        <w:spacing w:after="0"/>
      </w:pPr>
      <w:r>
        <w:separator/>
      </w:r>
    </w:p>
  </w:endnote>
  <w:endnote w:type="continuationSeparator" w:id="0">
    <w:p w:rsidR="00DE78E2" w:rsidRDefault="00DE78E2" w:rsidP="004A4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78E2" w:rsidRDefault="00DE78E2" w:rsidP="004A4E57">
      <w:pPr>
        <w:spacing w:after="0"/>
      </w:pPr>
      <w:r>
        <w:separator/>
      </w:r>
    </w:p>
  </w:footnote>
  <w:footnote w:type="continuationSeparator" w:id="0">
    <w:p w:rsidR="00DE78E2" w:rsidRDefault="00DE78E2" w:rsidP="004A4E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FC"/>
    <w:rsid w:val="000C70DB"/>
    <w:rsid w:val="00254FEB"/>
    <w:rsid w:val="003733FC"/>
    <w:rsid w:val="003F3D96"/>
    <w:rsid w:val="0044636E"/>
    <w:rsid w:val="004A4E57"/>
    <w:rsid w:val="005E4727"/>
    <w:rsid w:val="00814937"/>
    <w:rsid w:val="008B7F27"/>
    <w:rsid w:val="00AA3513"/>
    <w:rsid w:val="00B952DC"/>
    <w:rsid w:val="00DE78E2"/>
    <w:rsid w:val="00EC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AE9EC-59D3-41E5-B1EF-D0C9A58F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3FC"/>
    <w:pPr>
      <w:spacing w:after="200" w:line="240" w:lineRule="auto"/>
      <w:jc w:val="both"/>
    </w:pPr>
    <w:rPr>
      <w:rFonts w:ascii="Calibri" w:eastAsia="Times New Roman" w:hAnsi="Calibri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B952DC"/>
    <w:pPr>
      <w:autoSpaceDE w:val="0"/>
      <w:autoSpaceDN w:val="0"/>
      <w:adjustRightInd w:val="0"/>
      <w:spacing w:after="200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4E57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4E57"/>
    <w:rPr>
      <w:rFonts w:ascii="Calibri" w:eastAsia="Times New Roman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A4E57"/>
    <w:rPr>
      <w:vertAlign w:val="superscript"/>
    </w:rPr>
  </w:style>
  <w:style w:type="paragraph" w:styleId="Titulek">
    <w:name w:val="caption"/>
    <w:basedOn w:val="Normln"/>
    <w:next w:val="Normln"/>
    <w:unhideWhenUsed/>
    <w:qFormat/>
    <w:rsid w:val="005E4727"/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Katka\Disk%20Google\T&#253;nec\Grafy%20Bene&#353;ov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C:\Users\Katka\Disk%20Google\T&#253;nec\Grafy%20Bene&#353;ov.xlsx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%20Dell\Disk%20Google\T&#253;nec\Grafy%20Bene&#353;ov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%20Dell\Disk%20Google\T&#253;nec\Grafy%20Bene&#353;ov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7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úmrtnost!$A$9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úmrtnost!$B$8:$M$8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úmrtnost!$B$9:$M$9</c:f>
              <c:numCache>
                <c:formatCode>0.0</c:formatCode>
                <c:ptCount val="12"/>
                <c:pt idx="0">
                  <c:v>789.3</c:v>
                </c:pt>
                <c:pt idx="1">
                  <c:v>767.5</c:v>
                </c:pt>
                <c:pt idx="2">
                  <c:v>746.2</c:v>
                </c:pt>
                <c:pt idx="3">
                  <c:v>743.9</c:v>
                </c:pt>
                <c:pt idx="4">
                  <c:v>724.2</c:v>
                </c:pt>
                <c:pt idx="5">
                  <c:v>708.4</c:v>
                </c:pt>
                <c:pt idx="6">
                  <c:v>700.6</c:v>
                </c:pt>
                <c:pt idx="7">
                  <c:v>691.9</c:v>
                </c:pt>
                <c:pt idx="8">
                  <c:v>656</c:v>
                </c:pt>
                <c:pt idx="9">
                  <c:v>673.4</c:v>
                </c:pt>
                <c:pt idx="10">
                  <c:v>642.29999999999995</c:v>
                </c:pt>
                <c:pt idx="11">
                  <c:v>649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493-4967-910D-4984BD3C2956}"/>
            </c:ext>
          </c:extLst>
        </c:ser>
        <c:ser>
          <c:idx val="1"/>
          <c:order val="1"/>
          <c:tx>
            <c:strRef>
              <c:f>úmrtnost!$A$10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úmrtnost!$B$8:$M$8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úmrtnost!$B$10:$M$10</c:f>
              <c:numCache>
                <c:formatCode>0.0</c:formatCode>
                <c:ptCount val="12"/>
                <c:pt idx="0">
                  <c:v>807.8</c:v>
                </c:pt>
                <c:pt idx="1">
                  <c:v>790.6</c:v>
                </c:pt>
                <c:pt idx="2">
                  <c:v>764.9</c:v>
                </c:pt>
                <c:pt idx="3">
                  <c:v>770.2</c:v>
                </c:pt>
                <c:pt idx="4">
                  <c:v>735.3</c:v>
                </c:pt>
                <c:pt idx="5">
                  <c:v>727.2</c:v>
                </c:pt>
                <c:pt idx="6">
                  <c:v>717.5</c:v>
                </c:pt>
                <c:pt idx="7">
                  <c:v>707.4</c:v>
                </c:pt>
                <c:pt idx="8">
                  <c:v>656.1</c:v>
                </c:pt>
                <c:pt idx="9">
                  <c:v>675.3</c:v>
                </c:pt>
                <c:pt idx="10">
                  <c:v>644.79999999999995</c:v>
                </c:pt>
                <c:pt idx="11">
                  <c:v>653.6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493-4967-910D-4984BD3C2956}"/>
            </c:ext>
          </c:extLst>
        </c:ser>
        <c:ser>
          <c:idx val="2"/>
          <c:order val="2"/>
          <c:tx>
            <c:strRef>
              <c:f>úmrtnost!$A$11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úmrtnost!$B$8:$M$8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úmrtnost!$B$11:$M$11</c:f>
              <c:numCache>
                <c:formatCode>0.0</c:formatCode>
                <c:ptCount val="12"/>
                <c:pt idx="0">
                  <c:v>819.9</c:v>
                </c:pt>
                <c:pt idx="1">
                  <c:v>753.9</c:v>
                </c:pt>
                <c:pt idx="2">
                  <c:v>777.4</c:v>
                </c:pt>
                <c:pt idx="3">
                  <c:v>815.6</c:v>
                </c:pt>
                <c:pt idx="4">
                  <c:v>776.1</c:v>
                </c:pt>
                <c:pt idx="5">
                  <c:v>767.3</c:v>
                </c:pt>
                <c:pt idx="6">
                  <c:v>709.1</c:v>
                </c:pt>
                <c:pt idx="7">
                  <c:v>667.1</c:v>
                </c:pt>
                <c:pt idx="8">
                  <c:v>618.29999999999995</c:v>
                </c:pt>
                <c:pt idx="9">
                  <c:v>644.20000000000005</c:v>
                </c:pt>
                <c:pt idx="10">
                  <c:v>628.6</c:v>
                </c:pt>
                <c:pt idx="11">
                  <c:v>677.2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B493-4967-910D-4984BD3C29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189168"/>
        <c:axId val="497197008"/>
      </c:lineChart>
      <c:catAx>
        <c:axId val="497189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7008"/>
        <c:crosses val="autoZero"/>
        <c:auto val="1"/>
        <c:lblAlgn val="ctr"/>
        <c:lblOffset val="100"/>
        <c:noMultiLvlLbl val="0"/>
      </c:catAx>
      <c:valAx>
        <c:axId val="497197008"/>
        <c:scaling>
          <c:orientation val="minMax"/>
          <c:min val="6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8916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úmrtnost!$A$30</c:f>
              <c:strCache>
                <c:ptCount val="1"/>
                <c:pt idx="0">
                  <c:v>Benešov (SO ORP) muži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úmrtnost!$B$27:$M$27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úmrtnost!$B$30:$M$30</c:f>
              <c:numCache>
                <c:formatCode>0.0</c:formatCode>
                <c:ptCount val="12"/>
                <c:pt idx="0">
                  <c:v>1030.7</c:v>
                </c:pt>
                <c:pt idx="1">
                  <c:v>962.3</c:v>
                </c:pt>
                <c:pt idx="2">
                  <c:v>1064.5</c:v>
                </c:pt>
                <c:pt idx="3">
                  <c:v>1103.9000000000001</c:v>
                </c:pt>
                <c:pt idx="4">
                  <c:v>1031.0999999999999</c:v>
                </c:pt>
                <c:pt idx="5">
                  <c:v>966.6</c:v>
                </c:pt>
                <c:pt idx="6">
                  <c:v>950.4</c:v>
                </c:pt>
                <c:pt idx="7">
                  <c:v>847.3</c:v>
                </c:pt>
                <c:pt idx="8">
                  <c:v>827.4</c:v>
                </c:pt>
                <c:pt idx="9">
                  <c:v>808.8</c:v>
                </c:pt>
                <c:pt idx="10">
                  <c:v>839.8</c:v>
                </c:pt>
                <c:pt idx="11">
                  <c:v>890.9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BFD1-422A-A101-95DB5362A735}"/>
            </c:ext>
          </c:extLst>
        </c:ser>
        <c:ser>
          <c:idx val="1"/>
          <c:order val="1"/>
          <c:tx>
            <c:strRef>
              <c:f>úmrtnost!$A$43</c:f>
              <c:strCache>
                <c:ptCount val="1"/>
                <c:pt idx="0">
                  <c:v>Benešov (SO ORP) ženy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úmrtnost!$B$27:$M$27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úmrtnost!$B$43:$M$43</c:f>
              <c:numCache>
                <c:formatCode>0.0</c:formatCode>
                <c:ptCount val="12"/>
                <c:pt idx="0">
                  <c:v>651.1</c:v>
                </c:pt>
                <c:pt idx="1">
                  <c:v>594.6</c:v>
                </c:pt>
                <c:pt idx="2">
                  <c:v>561.9</c:v>
                </c:pt>
                <c:pt idx="3">
                  <c:v>586.70000000000005</c:v>
                </c:pt>
                <c:pt idx="4">
                  <c:v>586.1</c:v>
                </c:pt>
                <c:pt idx="5">
                  <c:v>602.4</c:v>
                </c:pt>
                <c:pt idx="6">
                  <c:v>521.20000000000005</c:v>
                </c:pt>
                <c:pt idx="7">
                  <c:v>523.20000000000005</c:v>
                </c:pt>
                <c:pt idx="8">
                  <c:v>462.1</c:v>
                </c:pt>
                <c:pt idx="9">
                  <c:v>522.6</c:v>
                </c:pt>
                <c:pt idx="10">
                  <c:v>459.1</c:v>
                </c:pt>
                <c:pt idx="11">
                  <c:v>515.4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BFD1-422A-A101-95DB5362A7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193088"/>
        <c:axId val="497188384"/>
      </c:lineChart>
      <c:catAx>
        <c:axId val="4971930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88384"/>
        <c:crosses val="autoZero"/>
        <c:auto val="1"/>
        <c:lblAlgn val="ctr"/>
        <c:lblOffset val="100"/>
        <c:noMultiLvlLbl val="0"/>
      </c:catAx>
      <c:valAx>
        <c:axId val="497188384"/>
        <c:scaling>
          <c:orientation val="minMax"/>
          <c:min val="3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3088"/>
        <c:crosses val="autoZero"/>
        <c:crossBetween val="between"/>
        <c:majorUnit val="150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úmrtnost!$A$167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úmrtnost!$B$166:$M$166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úmrtnost!$B$167:$M$167</c:f>
              <c:numCache>
                <c:formatCode>0.0</c:formatCode>
                <c:ptCount val="12"/>
                <c:pt idx="0">
                  <c:v>50.1</c:v>
                </c:pt>
                <c:pt idx="1">
                  <c:v>51.2</c:v>
                </c:pt>
                <c:pt idx="2">
                  <c:v>49.8</c:v>
                </c:pt>
                <c:pt idx="3">
                  <c:v>48.2</c:v>
                </c:pt>
                <c:pt idx="4">
                  <c:v>48.1</c:v>
                </c:pt>
                <c:pt idx="5">
                  <c:v>47.2</c:v>
                </c:pt>
                <c:pt idx="6">
                  <c:v>45.7</c:v>
                </c:pt>
                <c:pt idx="7">
                  <c:v>43.5</c:v>
                </c:pt>
                <c:pt idx="8">
                  <c:v>43.3</c:v>
                </c:pt>
                <c:pt idx="9">
                  <c:v>43.1</c:v>
                </c:pt>
                <c:pt idx="10">
                  <c:v>40.799999999999997</c:v>
                </c:pt>
                <c:pt idx="11">
                  <c:v>41.1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DBFD-4091-869A-AEFB1065207C}"/>
            </c:ext>
          </c:extLst>
        </c:ser>
        <c:ser>
          <c:idx val="1"/>
          <c:order val="1"/>
          <c:tx>
            <c:strRef>
              <c:f>úmrtnost!$A$168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úmrtnost!$B$166:$M$166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úmrtnost!$B$168:$M$168</c:f>
              <c:numCache>
                <c:formatCode>0.0</c:formatCode>
                <c:ptCount val="12"/>
                <c:pt idx="0">
                  <c:v>47.4</c:v>
                </c:pt>
                <c:pt idx="1">
                  <c:v>55.2</c:v>
                </c:pt>
                <c:pt idx="2">
                  <c:v>49.2</c:v>
                </c:pt>
                <c:pt idx="3">
                  <c:v>44.7</c:v>
                </c:pt>
                <c:pt idx="4">
                  <c:v>45.6</c:v>
                </c:pt>
                <c:pt idx="5">
                  <c:v>44.3</c:v>
                </c:pt>
                <c:pt idx="6">
                  <c:v>44.4</c:v>
                </c:pt>
                <c:pt idx="7">
                  <c:v>44.6</c:v>
                </c:pt>
                <c:pt idx="8">
                  <c:v>41.9</c:v>
                </c:pt>
                <c:pt idx="9">
                  <c:v>40.200000000000003</c:v>
                </c:pt>
                <c:pt idx="10">
                  <c:v>35.6</c:v>
                </c:pt>
                <c:pt idx="11">
                  <c:v>37.700000000000003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DBFD-4091-869A-AEFB1065207C}"/>
            </c:ext>
          </c:extLst>
        </c:ser>
        <c:ser>
          <c:idx val="2"/>
          <c:order val="2"/>
          <c:tx>
            <c:strRef>
              <c:f>úmrtnost!$A$169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úmrtnost!$B$166:$M$166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úmrtnost!$B$169:$M$169</c:f>
              <c:numCache>
                <c:formatCode>0.0</c:formatCode>
                <c:ptCount val="12"/>
                <c:pt idx="0">
                  <c:v>33.200000000000003</c:v>
                </c:pt>
                <c:pt idx="1">
                  <c:v>55.9</c:v>
                </c:pt>
                <c:pt idx="2">
                  <c:v>56.8</c:v>
                </c:pt>
                <c:pt idx="3">
                  <c:v>36.5</c:v>
                </c:pt>
                <c:pt idx="4">
                  <c:v>46.8</c:v>
                </c:pt>
                <c:pt idx="5">
                  <c:v>49.6</c:v>
                </c:pt>
                <c:pt idx="6">
                  <c:v>42</c:v>
                </c:pt>
                <c:pt idx="7">
                  <c:v>19.899999999999999</c:v>
                </c:pt>
                <c:pt idx="8">
                  <c:v>36.200000000000003</c:v>
                </c:pt>
                <c:pt idx="9">
                  <c:v>34.4</c:v>
                </c:pt>
                <c:pt idx="10">
                  <c:v>45.2</c:v>
                </c:pt>
                <c:pt idx="11">
                  <c:v>50.7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BFD-4091-869A-AEFB106520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191128"/>
        <c:axId val="497191520"/>
      </c:lineChart>
      <c:catAx>
        <c:axId val="4971911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1520"/>
        <c:crosses val="autoZero"/>
        <c:auto val="1"/>
        <c:lblAlgn val="ctr"/>
        <c:lblOffset val="100"/>
        <c:noMultiLvlLbl val="0"/>
      </c:catAx>
      <c:valAx>
        <c:axId val="497191520"/>
        <c:scaling>
          <c:orientation val="minMax"/>
          <c:max val="70"/>
          <c:min val="1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1128"/>
        <c:crosses val="autoZero"/>
        <c:crossBetween val="between"/>
        <c:majorUnit val="10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úmrtnost!$I$208</c:f>
              <c:strCache>
                <c:ptCount val="1"/>
                <c:pt idx="0">
                  <c:v>Benešov (SO ORP) muži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úmrtnost!$A$209:$A$220</c:f>
              <c:numCache>
                <c:formatCode>0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úmrtnost!$I$209:$I$220</c:f>
              <c:numCache>
                <c:formatCode>0.0</c:formatCode>
                <c:ptCount val="12"/>
                <c:pt idx="0">
                  <c:v>46.9</c:v>
                </c:pt>
                <c:pt idx="1">
                  <c:v>81.099999999999994</c:v>
                </c:pt>
                <c:pt idx="2">
                  <c:v>98.2</c:v>
                </c:pt>
                <c:pt idx="3">
                  <c:v>64.599999999999994</c:v>
                </c:pt>
                <c:pt idx="4">
                  <c:v>74.8</c:v>
                </c:pt>
                <c:pt idx="5">
                  <c:v>72.599999999999994</c:v>
                </c:pt>
                <c:pt idx="6">
                  <c:v>66.599999999999994</c:v>
                </c:pt>
                <c:pt idx="7">
                  <c:v>40.1</c:v>
                </c:pt>
                <c:pt idx="8">
                  <c:v>59.4</c:v>
                </c:pt>
                <c:pt idx="9">
                  <c:v>64.7</c:v>
                </c:pt>
                <c:pt idx="10">
                  <c:v>79.2</c:v>
                </c:pt>
                <c:pt idx="11">
                  <c:v>73.099999999999994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1FA-4A49-A7C2-2FF0834AFE3B}"/>
            </c:ext>
          </c:extLst>
        </c:ser>
        <c:ser>
          <c:idx val="1"/>
          <c:order val="1"/>
          <c:tx>
            <c:strRef>
              <c:f>úmrtnost!$J$208</c:f>
              <c:strCache>
                <c:ptCount val="1"/>
                <c:pt idx="0">
                  <c:v>Benešov (SO ORP) ženy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úmrtnost!$A$209:$A$220</c:f>
              <c:numCache>
                <c:formatCode>0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úmrtnost!$J$209:$J$220</c:f>
              <c:numCache>
                <c:formatCode>0.0</c:formatCode>
                <c:ptCount val="12"/>
                <c:pt idx="0">
                  <c:v>19.899999999999999</c:v>
                </c:pt>
                <c:pt idx="1">
                  <c:v>33.1</c:v>
                </c:pt>
                <c:pt idx="2">
                  <c:v>22.6</c:v>
                </c:pt>
                <c:pt idx="3">
                  <c:v>9.3000000000000007</c:v>
                </c:pt>
                <c:pt idx="4">
                  <c:v>20.5</c:v>
                </c:pt>
                <c:pt idx="5">
                  <c:v>26.5</c:v>
                </c:pt>
                <c:pt idx="6">
                  <c:v>16.899999999999999</c:v>
                </c:pt>
                <c:pt idx="7">
                  <c:v>2.8</c:v>
                </c:pt>
                <c:pt idx="8">
                  <c:v>16.399999999999999</c:v>
                </c:pt>
                <c:pt idx="9">
                  <c:v>5.9</c:v>
                </c:pt>
                <c:pt idx="10">
                  <c:v>14.2</c:v>
                </c:pt>
                <c:pt idx="11">
                  <c:v>31.2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1FA-4A49-A7C2-2FF0834AFE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195832"/>
        <c:axId val="497186816"/>
      </c:lineChart>
      <c:catAx>
        <c:axId val="497195832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86816"/>
        <c:crosses val="autoZero"/>
        <c:auto val="1"/>
        <c:lblAlgn val="ctr"/>
        <c:lblOffset val="100"/>
        <c:noMultiLvlLbl val="0"/>
      </c:catAx>
      <c:valAx>
        <c:axId val="497186816"/>
        <c:scaling>
          <c:orientation val="minMax"/>
          <c:max val="12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5832"/>
        <c:crosses val="autoZero"/>
        <c:crossBetween val="between"/>
        <c:majorUnit val="20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děti!$A$28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děti!$B$27:$M$27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děti!$B$28:$M$28</c:f>
              <c:numCache>
                <c:formatCode>0.0</c:formatCode>
                <c:ptCount val="12"/>
                <c:pt idx="0">
                  <c:v>2.2999999999999998</c:v>
                </c:pt>
                <c:pt idx="1">
                  <c:v>2.1</c:v>
                </c:pt>
                <c:pt idx="2">
                  <c:v>1.8</c:v>
                </c:pt>
                <c:pt idx="3">
                  <c:v>1.6</c:v>
                </c:pt>
                <c:pt idx="4">
                  <c:v>1.7</c:v>
                </c:pt>
                <c:pt idx="5">
                  <c:v>1.7</c:v>
                </c:pt>
                <c:pt idx="6">
                  <c:v>1.6</c:v>
                </c:pt>
                <c:pt idx="7">
                  <c:v>1.4</c:v>
                </c:pt>
                <c:pt idx="8">
                  <c:v>1.6</c:v>
                </c:pt>
                <c:pt idx="9">
                  <c:v>1.5</c:v>
                </c:pt>
                <c:pt idx="10">
                  <c:v>1.4</c:v>
                </c:pt>
                <c:pt idx="11">
                  <c:v>1.3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E73-4954-8FA1-92CC76CB33FC}"/>
            </c:ext>
          </c:extLst>
        </c:ser>
        <c:ser>
          <c:idx val="1"/>
          <c:order val="1"/>
          <c:tx>
            <c:strRef>
              <c:f>děti!$A$29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děti!$B$27:$M$27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děti!$B$29:$M$29</c:f>
              <c:numCache>
                <c:formatCode>0.0</c:formatCode>
                <c:ptCount val="12"/>
                <c:pt idx="0">
                  <c:v>1.1000000000000001</c:v>
                </c:pt>
                <c:pt idx="1">
                  <c:v>1.3</c:v>
                </c:pt>
                <c:pt idx="2">
                  <c:v>1.6</c:v>
                </c:pt>
                <c:pt idx="3">
                  <c:v>1.6</c:v>
                </c:pt>
                <c:pt idx="4">
                  <c:v>1.3</c:v>
                </c:pt>
                <c:pt idx="5">
                  <c:v>1.3</c:v>
                </c:pt>
                <c:pt idx="6">
                  <c:v>1.7</c:v>
                </c:pt>
                <c:pt idx="7">
                  <c:v>0.8</c:v>
                </c:pt>
                <c:pt idx="8">
                  <c:v>1.3</c:v>
                </c:pt>
                <c:pt idx="9">
                  <c:v>1.5</c:v>
                </c:pt>
                <c:pt idx="10">
                  <c:v>1.8</c:v>
                </c:pt>
                <c:pt idx="11">
                  <c:v>1.1000000000000001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E73-4954-8FA1-92CC76CB33FC}"/>
            </c:ext>
          </c:extLst>
        </c:ser>
        <c:ser>
          <c:idx val="2"/>
          <c:order val="2"/>
          <c:tx>
            <c:strRef>
              <c:f>děti!$A$30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děti!$B$27:$M$27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děti!$B$30:$M$30</c:f>
              <c:numCache>
                <c:formatCode>0.0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2.8</c:v>
                </c:pt>
                <c:pt idx="3">
                  <c:v>2.9</c:v>
                </c:pt>
                <c:pt idx="4">
                  <c:v>1.6</c:v>
                </c:pt>
                <c:pt idx="5">
                  <c:v>0</c:v>
                </c:pt>
                <c:pt idx="6">
                  <c:v>3</c:v>
                </c:pt>
                <c:pt idx="7">
                  <c:v>0</c:v>
                </c:pt>
                <c:pt idx="8">
                  <c:v>1.6</c:v>
                </c:pt>
                <c:pt idx="9">
                  <c:v>3</c:v>
                </c:pt>
                <c:pt idx="10">
                  <c:v>1.6</c:v>
                </c:pt>
                <c:pt idx="11">
                  <c:v>1.6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E73-4954-8FA1-92CC76CB33F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189952"/>
        <c:axId val="497191912"/>
      </c:lineChart>
      <c:catAx>
        <c:axId val="4971899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1912"/>
        <c:crosses val="autoZero"/>
        <c:auto val="1"/>
        <c:lblAlgn val="ctr"/>
        <c:lblOffset val="100"/>
        <c:noMultiLvlLbl val="0"/>
      </c:catAx>
      <c:valAx>
        <c:axId val="497191912"/>
        <c:scaling>
          <c:orientation val="minMax"/>
          <c:max val="4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89952"/>
        <c:crosses val="autoZero"/>
        <c:crossBetween val="between"/>
        <c:majorUnit val="0.5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děti!$A$47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děti!$B$46:$M$46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děti!$B$47:$M$47</c:f>
              <c:numCache>
                <c:formatCode>0.0</c:formatCode>
                <c:ptCount val="12"/>
                <c:pt idx="0">
                  <c:v>3.3</c:v>
                </c:pt>
                <c:pt idx="1">
                  <c:v>3.1</c:v>
                </c:pt>
                <c:pt idx="2">
                  <c:v>2.8</c:v>
                </c:pt>
                <c:pt idx="3">
                  <c:v>2.9</c:v>
                </c:pt>
                <c:pt idx="4">
                  <c:v>2.7</c:v>
                </c:pt>
                <c:pt idx="5">
                  <c:v>2.7</c:v>
                </c:pt>
                <c:pt idx="6">
                  <c:v>2.6</c:v>
                </c:pt>
                <c:pt idx="7">
                  <c:v>2.5</c:v>
                </c:pt>
                <c:pt idx="8">
                  <c:v>2.4</c:v>
                </c:pt>
                <c:pt idx="9">
                  <c:v>2.5</c:v>
                </c:pt>
                <c:pt idx="10">
                  <c:v>2.8</c:v>
                </c:pt>
                <c:pt idx="11">
                  <c:v>2.7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508-4816-9983-FFB93C50FEED}"/>
            </c:ext>
          </c:extLst>
        </c:ser>
        <c:ser>
          <c:idx val="1"/>
          <c:order val="1"/>
          <c:tx>
            <c:strRef>
              <c:f>děti!$A$48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děti!$B$46:$M$46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děti!$B$48:$M$48</c:f>
              <c:numCache>
                <c:formatCode>0.0</c:formatCode>
                <c:ptCount val="12"/>
                <c:pt idx="0">
                  <c:v>2.4</c:v>
                </c:pt>
                <c:pt idx="1">
                  <c:v>2.5</c:v>
                </c:pt>
                <c:pt idx="2">
                  <c:v>2.7</c:v>
                </c:pt>
                <c:pt idx="3">
                  <c:v>2.9</c:v>
                </c:pt>
                <c:pt idx="4">
                  <c:v>2.1</c:v>
                </c:pt>
                <c:pt idx="5">
                  <c:v>2.2000000000000002</c:v>
                </c:pt>
                <c:pt idx="6">
                  <c:v>2.1</c:v>
                </c:pt>
                <c:pt idx="7">
                  <c:v>1.6</c:v>
                </c:pt>
                <c:pt idx="8">
                  <c:v>2.1</c:v>
                </c:pt>
                <c:pt idx="9">
                  <c:v>2.2999999999999998</c:v>
                </c:pt>
                <c:pt idx="10">
                  <c:v>2.8</c:v>
                </c:pt>
                <c:pt idx="11">
                  <c:v>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508-4816-9983-FFB93C50FEED}"/>
            </c:ext>
          </c:extLst>
        </c:ser>
        <c:ser>
          <c:idx val="2"/>
          <c:order val="2"/>
          <c:tx>
            <c:strRef>
              <c:f>děti!$A$49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děti!$B$46:$M$46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děti!$B$49:$M$49</c:f>
              <c:numCache>
                <c:formatCode>0.0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2.8</c:v>
                </c:pt>
                <c:pt idx="3">
                  <c:v>5.8</c:v>
                </c:pt>
                <c:pt idx="4">
                  <c:v>1.6</c:v>
                </c:pt>
                <c:pt idx="5">
                  <c:v>1.6</c:v>
                </c:pt>
                <c:pt idx="6">
                  <c:v>4.5</c:v>
                </c:pt>
                <c:pt idx="7">
                  <c:v>0</c:v>
                </c:pt>
                <c:pt idx="8">
                  <c:v>1.6</c:v>
                </c:pt>
                <c:pt idx="9">
                  <c:v>7.6</c:v>
                </c:pt>
                <c:pt idx="10">
                  <c:v>1.6</c:v>
                </c:pt>
                <c:pt idx="11">
                  <c:v>3.2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508-4816-9983-FFB93C50FE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7192304"/>
        <c:axId val="497193872"/>
      </c:lineChart>
      <c:catAx>
        <c:axId val="497192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3872"/>
        <c:crosses val="autoZero"/>
        <c:auto val="1"/>
        <c:lblAlgn val="ctr"/>
        <c:lblOffset val="100"/>
        <c:noMultiLvlLbl val="0"/>
      </c:catAx>
      <c:valAx>
        <c:axId val="497193872"/>
        <c:scaling>
          <c:orientation val="minMax"/>
          <c:max val="8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497192304"/>
        <c:crosses val="autoZero"/>
        <c:crossBetween val="between"/>
        <c:majorUnit val="1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400"/>
            </a:pPr>
            <a:r>
              <a:rPr lang="en-US" sz="1400"/>
              <a:t>SO ORP Benešov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8684530105378619"/>
          <c:y val="0.14260136945969001"/>
          <c:w val="0.59446472222222224"/>
          <c:h val="0.495387268518518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gradFill rotWithShape="1">
                <a:gsLst>
                  <a:gs pos="0">
                    <a:schemeClr val="accent1">
                      <a:shade val="51000"/>
                      <a:satMod val="130000"/>
                    </a:schemeClr>
                  </a:gs>
                  <a:gs pos="80000">
                    <a:schemeClr val="accent1">
                      <a:shade val="93000"/>
                      <a:satMod val="130000"/>
                    </a:schemeClr>
                  </a:gs>
                  <a:gs pos="100000">
                    <a:schemeClr val="accent1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CA8-4030-8C9C-41B536177F2D}"/>
              </c:ext>
            </c:extLst>
          </c:dPt>
          <c:dPt>
            <c:idx val="1"/>
            <c:bubble3D val="0"/>
            <c:spPr>
              <a:gradFill rotWithShape="1">
                <a:gsLst>
                  <a:gs pos="0">
                    <a:schemeClr val="accent2">
                      <a:shade val="51000"/>
                      <a:satMod val="130000"/>
                    </a:schemeClr>
                  </a:gs>
                  <a:gs pos="80000">
                    <a:schemeClr val="accent2">
                      <a:shade val="93000"/>
                      <a:satMod val="130000"/>
                    </a:schemeClr>
                  </a:gs>
                  <a:gs pos="100000">
                    <a:schemeClr val="accent2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8CA8-4030-8C9C-41B536177F2D}"/>
              </c:ext>
            </c:extLst>
          </c:dPt>
          <c:dPt>
            <c:idx val="2"/>
            <c:bubble3D val="0"/>
            <c:spPr>
              <a:gradFill rotWithShape="1">
                <a:gsLst>
                  <a:gs pos="0">
                    <a:schemeClr val="accent3">
                      <a:shade val="51000"/>
                      <a:satMod val="130000"/>
                    </a:schemeClr>
                  </a:gs>
                  <a:gs pos="80000">
                    <a:schemeClr val="accent3">
                      <a:shade val="93000"/>
                      <a:satMod val="130000"/>
                    </a:schemeClr>
                  </a:gs>
                  <a:gs pos="100000">
                    <a:schemeClr val="accent3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8CA8-4030-8C9C-41B536177F2D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hade val="51000"/>
                      <a:satMod val="130000"/>
                    </a:schemeClr>
                  </a:gs>
                  <a:gs pos="80000">
                    <a:schemeClr val="accent4">
                      <a:shade val="93000"/>
                      <a:satMod val="130000"/>
                    </a:schemeClr>
                  </a:gs>
                  <a:gs pos="100000">
                    <a:schemeClr val="accent4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8CA8-4030-8C9C-41B536177F2D}"/>
              </c:ext>
            </c:extLst>
          </c:dPt>
          <c:dPt>
            <c:idx val="4"/>
            <c:bubble3D val="0"/>
            <c:spPr>
              <a:gradFill rotWithShape="1">
                <a:gsLst>
                  <a:gs pos="0">
                    <a:schemeClr val="accent5">
                      <a:shade val="51000"/>
                      <a:satMod val="13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>
                  <a:rot lat="0" lon="0" rev="0"/>
                </a:camera>
                <a:lightRig rig="threePt" dir="t">
                  <a:rot lat="0" lon="0" rev="1200000"/>
                </a:lightRig>
              </a:scene3d>
              <a:sp3d>
                <a:bevelT w="63500" h="254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8CA8-4030-8C9C-41B536177F2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cs-CZ"/>
              </a:p>
            </c:txPr>
            <c:dLblPos val="outEnd"/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úmrtnost!$C$103:$F$103</c:f>
              <c:strCache>
                <c:ptCount val="4"/>
                <c:pt idx="0">
                  <c:v>nemoci srdce a cév</c:v>
                </c:pt>
                <c:pt idx="1">
                  <c:v>nádory</c:v>
                </c:pt>
                <c:pt idx="2">
                  <c:v>úrazy</c:v>
                </c:pt>
                <c:pt idx="3">
                  <c:v>ostatní příčiny</c:v>
                </c:pt>
              </c:strCache>
            </c:strRef>
          </c:cat>
          <c:val>
            <c:numRef>
              <c:f>úmrtnost!$C$104:$F$104</c:f>
              <c:numCache>
                <c:formatCode>###\ ###\ ###\ ###\ ##0</c:formatCode>
                <c:ptCount val="4"/>
                <c:pt idx="0">
                  <c:v>1377</c:v>
                </c:pt>
                <c:pt idx="1">
                  <c:v>749</c:v>
                </c:pt>
                <c:pt idx="2">
                  <c:v>138</c:v>
                </c:pt>
                <c:pt idx="3">
                  <c:v>653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8CA8-4030-8C9C-41B536177F2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9917277777777778"/>
          <c:y val="0.72519976851851853"/>
          <c:w val="0.62771584499329547"/>
          <c:h val="0.23107430555555558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2CC"/>
    </a:solidFill>
    <a:ln w="9525" cap="flat" cmpd="sng" algn="ctr">
      <a:solidFill>
        <a:schemeClr val="bg1">
          <a:lumMod val="50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Kancelář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Kancelář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Kancelář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Vrbická Denisa</dc:creator>
  <cp:keywords/>
  <dc:description/>
  <cp:lastModifiedBy>Vrbická Denisa</cp:lastModifiedBy>
  <cp:revision>2</cp:revision>
  <dcterms:created xsi:type="dcterms:W3CDTF">2019-10-10T10:40:00Z</dcterms:created>
  <dcterms:modified xsi:type="dcterms:W3CDTF">2019-10-10T10:40:00Z</dcterms:modified>
</cp:coreProperties>
</file>