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727" w:rsidRDefault="005E4727" w:rsidP="005E4727">
      <w:pPr>
        <w:spacing w:after="160"/>
        <w:rPr>
          <w:szCs w:val="24"/>
        </w:rPr>
      </w:pPr>
      <w:r>
        <w:rPr>
          <w:i/>
          <w:iCs/>
          <w:szCs w:val="24"/>
        </w:rPr>
        <w:t>Graf</w:t>
      </w:r>
      <w:r w:rsidRPr="008213B6">
        <w:rPr>
          <w:i/>
          <w:iCs/>
          <w:szCs w:val="24"/>
        </w:rPr>
        <w:t xml:space="preserve">: Incidence salmonelózy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5E4727" w:rsidRDefault="005E4727" w:rsidP="005E4727">
      <w:pPr>
        <w:spacing w:after="120"/>
        <w:rPr>
          <w:highlight w:val="cyan"/>
        </w:rPr>
      </w:pPr>
      <w:r>
        <w:rPr>
          <w:noProof/>
          <w:lang w:eastAsia="cs-CZ"/>
        </w:rPr>
        <w:drawing>
          <wp:inline distT="0" distB="0" distL="0" distR="0" wp14:anchorId="14A0FB53" wp14:editId="7ED65745">
            <wp:extent cx="5760000" cy="3600000"/>
            <wp:effectExtent l="0" t="0" r="12700" b="635"/>
            <wp:docPr id="60" name="Graf 6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5E4727" w:rsidRDefault="005E4727" w:rsidP="005E4727">
      <w:pPr>
        <w:spacing w:after="160"/>
        <w:rPr>
          <w:i/>
          <w:iCs/>
          <w:szCs w:val="24"/>
        </w:rPr>
      </w:pPr>
      <w:bookmarkStart w:id="0" w:name="_Toc333832732"/>
    </w:p>
    <w:p w:rsidR="005E4727" w:rsidRDefault="005E4727" w:rsidP="005E4727">
      <w:pPr>
        <w:spacing w:after="160"/>
        <w:rPr>
          <w:szCs w:val="24"/>
        </w:rPr>
      </w:pPr>
      <w:r>
        <w:rPr>
          <w:i/>
          <w:iCs/>
          <w:szCs w:val="24"/>
        </w:rPr>
        <w:t>Graf:</w:t>
      </w:r>
      <w:bookmarkStart w:id="1" w:name="_GoBack"/>
      <w:bookmarkEnd w:id="1"/>
      <w:r w:rsidRPr="008213B6">
        <w:rPr>
          <w:i/>
          <w:iCs/>
          <w:szCs w:val="24"/>
        </w:rPr>
        <w:t xml:space="preserve"> Incidence </w:t>
      </w:r>
      <w:r>
        <w:rPr>
          <w:i/>
          <w:iCs/>
          <w:szCs w:val="24"/>
        </w:rPr>
        <w:t xml:space="preserve">kampylobakteriózy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 xml:space="preserve">SO ORP Benešov, České republice a Středočeském kraji v letech 2006 až 2017,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muži i ženy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AA3513" w:rsidRPr="005E4727" w:rsidRDefault="005E4727" w:rsidP="005E4727">
      <w:pPr>
        <w:pStyle w:val="Titulek"/>
        <w:rPr>
          <w:rFonts w:asciiTheme="majorHAnsi" w:hAnsiTheme="majorHAnsi" w:cstheme="majorHAnsi"/>
          <w:b w:val="0"/>
          <w:color w:val="auto"/>
          <w:sz w:val="22"/>
          <w:szCs w:val="22"/>
        </w:rPr>
      </w:pPr>
      <w:r>
        <w:rPr>
          <w:noProof/>
          <w:lang w:eastAsia="cs-CZ"/>
        </w:rPr>
        <w:drawing>
          <wp:inline distT="0" distB="0" distL="0" distR="0" wp14:anchorId="7FDEF423" wp14:editId="2748EF82">
            <wp:extent cx="5760000" cy="3600000"/>
            <wp:effectExtent l="0" t="0" r="12700" b="635"/>
            <wp:docPr id="61" name="Graf 6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End w:id="0"/>
    </w:p>
    <w:sectPr w:rsidR="00AA3513" w:rsidRPr="005E47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023" w:rsidRDefault="00184023" w:rsidP="004A4E57">
      <w:pPr>
        <w:spacing w:after="0"/>
      </w:pPr>
      <w:r>
        <w:separator/>
      </w:r>
    </w:p>
  </w:endnote>
  <w:endnote w:type="continuationSeparator" w:id="0">
    <w:p w:rsidR="00184023" w:rsidRDefault="00184023" w:rsidP="004A4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023" w:rsidRDefault="00184023" w:rsidP="004A4E57">
      <w:pPr>
        <w:spacing w:after="0"/>
      </w:pPr>
      <w:r>
        <w:separator/>
      </w:r>
    </w:p>
  </w:footnote>
  <w:footnote w:type="continuationSeparator" w:id="0">
    <w:p w:rsidR="00184023" w:rsidRDefault="00184023" w:rsidP="004A4E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184023"/>
    <w:rsid w:val="00254FEB"/>
    <w:rsid w:val="003733FC"/>
    <w:rsid w:val="003F3D96"/>
    <w:rsid w:val="004A4E57"/>
    <w:rsid w:val="005E4727"/>
    <w:rsid w:val="00814937"/>
    <w:rsid w:val="008B7F27"/>
    <w:rsid w:val="00AA3513"/>
    <w:rsid w:val="00B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B952DC"/>
    <w:pPr>
      <w:autoSpaceDE w:val="0"/>
      <w:autoSpaceDN w:val="0"/>
      <w:adjustRightInd w:val="0"/>
      <w:spacing w:after="20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A4E57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A4E57"/>
    <w:rPr>
      <w:rFonts w:ascii="Calibri" w:eastAsia="Times New Roman" w:hAnsi="Calibri" w:cs="Calibri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A4E57"/>
    <w:rPr>
      <w:vertAlign w:val="superscript"/>
    </w:rPr>
  </w:style>
  <w:style w:type="paragraph" w:styleId="Titulek">
    <w:name w:val="caption"/>
    <w:basedOn w:val="Normln"/>
    <w:next w:val="Normln"/>
    <w:unhideWhenUsed/>
    <w:qFormat/>
    <w:rsid w:val="005E4727"/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infekce!$A$70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infekce!$B$69:$M$69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infekce!$B$70:$M$70</c:f>
              <c:numCache>
                <c:formatCode>0.0</c:formatCode>
                <c:ptCount val="12"/>
                <c:pt idx="0">
                  <c:v>244.5</c:v>
                </c:pt>
                <c:pt idx="1">
                  <c:v>176.4</c:v>
                </c:pt>
                <c:pt idx="2">
                  <c:v>105.6</c:v>
                </c:pt>
                <c:pt idx="3">
                  <c:v>103</c:v>
                </c:pt>
                <c:pt idx="4">
                  <c:v>82</c:v>
                </c:pt>
                <c:pt idx="5">
                  <c:v>83.4</c:v>
                </c:pt>
                <c:pt idx="6">
                  <c:v>100</c:v>
                </c:pt>
                <c:pt idx="7">
                  <c:v>97.8</c:v>
                </c:pt>
                <c:pt idx="8">
                  <c:v>129.5</c:v>
                </c:pt>
                <c:pt idx="9">
                  <c:v>120.8</c:v>
                </c:pt>
                <c:pt idx="10">
                  <c:v>112.7</c:v>
                </c:pt>
                <c:pt idx="11">
                  <c:v>111.2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217-4536-B42E-E3B5B81373A5}"/>
            </c:ext>
          </c:extLst>
        </c:ser>
        <c:ser>
          <c:idx val="1"/>
          <c:order val="1"/>
          <c:tx>
            <c:strRef>
              <c:f>infekce!$A$71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infekce!$B$69:$M$69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infekce!$B$71:$M$71</c:f>
              <c:numCache>
                <c:formatCode>0.0</c:formatCode>
                <c:ptCount val="12"/>
                <c:pt idx="0">
                  <c:v>274.3</c:v>
                </c:pt>
                <c:pt idx="1">
                  <c:v>194.2</c:v>
                </c:pt>
                <c:pt idx="2">
                  <c:v>105.7</c:v>
                </c:pt>
                <c:pt idx="3">
                  <c:v>98.7</c:v>
                </c:pt>
                <c:pt idx="4">
                  <c:v>75.5</c:v>
                </c:pt>
                <c:pt idx="5">
                  <c:v>100.9</c:v>
                </c:pt>
                <c:pt idx="6">
                  <c:v>85.9</c:v>
                </c:pt>
                <c:pt idx="7">
                  <c:v>98.4</c:v>
                </c:pt>
                <c:pt idx="8">
                  <c:v>139.9</c:v>
                </c:pt>
                <c:pt idx="9">
                  <c:v>120.4</c:v>
                </c:pt>
                <c:pt idx="10">
                  <c:v>130.4</c:v>
                </c:pt>
                <c:pt idx="11">
                  <c:v>112.2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7217-4536-B42E-E3B5B81373A5}"/>
            </c:ext>
          </c:extLst>
        </c:ser>
        <c:ser>
          <c:idx val="2"/>
          <c:order val="2"/>
          <c:tx>
            <c:strRef>
              <c:f>infekce!$A$72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infekce!$B$69:$M$69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infekce!$B$72:$M$72</c:f>
              <c:numCache>
                <c:formatCode>0.0</c:formatCode>
                <c:ptCount val="12"/>
                <c:pt idx="0">
                  <c:v>306.7</c:v>
                </c:pt>
                <c:pt idx="1">
                  <c:v>231.5</c:v>
                </c:pt>
                <c:pt idx="2">
                  <c:v>168.3</c:v>
                </c:pt>
                <c:pt idx="3">
                  <c:v>132.5</c:v>
                </c:pt>
                <c:pt idx="4">
                  <c:v>228.7</c:v>
                </c:pt>
                <c:pt idx="5">
                  <c:v>308.7</c:v>
                </c:pt>
                <c:pt idx="6">
                  <c:v>132</c:v>
                </c:pt>
                <c:pt idx="7">
                  <c:v>156.9</c:v>
                </c:pt>
                <c:pt idx="8">
                  <c:v>131.9</c:v>
                </c:pt>
                <c:pt idx="9">
                  <c:v>182.1</c:v>
                </c:pt>
                <c:pt idx="10">
                  <c:v>140.19999999999999</c:v>
                </c:pt>
                <c:pt idx="11">
                  <c:v>127.6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7217-4536-B42E-E3B5B81373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8383496"/>
        <c:axId val="678384672"/>
      </c:lineChart>
      <c:catAx>
        <c:axId val="678383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8384672"/>
        <c:crosses val="autoZero"/>
        <c:auto val="1"/>
        <c:lblAlgn val="ctr"/>
        <c:lblOffset val="100"/>
        <c:noMultiLvlLbl val="0"/>
      </c:catAx>
      <c:valAx>
        <c:axId val="678384672"/>
        <c:scaling>
          <c:orientation val="minMax"/>
          <c:max val="350"/>
          <c:min val="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8383496"/>
        <c:crosses val="autoZero"/>
        <c:crossBetween val="between"/>
        <c:majorUnit val="5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infekce!$A$90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infekce!$B$89:$M$89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infekce!$B$90:$M$90</c:f>
              <c:numCache>
                <c:formatCode>0.0</c:formatCode>
                <c:ptCount val="12"/>
                <c:pt idx="0">
                  <c:v>221.2</c:v>
                </c:pt>
                <c:pt idx="1">
                  <c:v>235</c:v>
                </c:pt>
                <c:pt idx="2">
                  <c:v>193.4</c:v>
                </c:pt>
                <c:pt idx="3">
                  <c:v>194.2</c:v>
                </c:pt>
                <c:pt idx="4">
                  <c:v>201.2</c:v>
                </c:pt>
                <c:pt idx="5">
                  <c:v>179.2</c:v>
                </c:pt>
                <c:pt idx="6">
                  <c:v>175.2</c:v>
                </c:pt>
                <c:pt idx="7">
                  <c:v>175</c:v>
                </c:pt>
                <c:pt idx="8">
                  <c:v>198.6</c:v>
                </c:pt>
                <c:pt idx="9">
                  <c:v>200.2</c:v>
                </c:pt>
                <c:pt idx="10">
                  <c:v>229.9</c:v>
                </c:pt>
                <c:pt idx="11">
                  <c:v>231.4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F5F4-4F87-AF6F-218DF9E89E77}"/>
            </c:ext>
          </c:extLst>
        </c:ser>
        <c:ser>
          <c:idx val="1"/>
          <c:order val="1"/>
          <c:tx>
            <c:strRef>
              <c:f>infekce!$A$91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infekce!$B$89:$M$89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infekce!$B$91:$M$91</c:f>
              <c:numCache>
                <c:formatCode>0.0</c:formatCode>
                <c:ptCount val="12"/>
                <c:pt idx="0">
                  <c:v>182.8</c:v>
                </c:pt>
                <c:pt idx="1">
                  <c:v>209.7</c:v>
                </c:pt>
                <c:pt idx="2">
                  <c:v>161.6</c:v>
                </c:pt>
                <c:pt idx="3">
                  <c:v>164.6</c:v>
                </c:pt>
                <c:pt idx="4">
                  <c:v>169.7</c:v>
                </c:pt>
                <c:pt idx="5">
                  <c:v>144.69999999999999</c:v>
                </c:pt>
                <c:pt idx="6">
                  <c:v>145.69999999999999</c:v>
                </c:pt>
                <c:pt idx="7">
                  <c:v>161.4</c:v>
                </c:pt>
                <c:pt idx="8">
                  <c:v>196.1</c:v>
                </c:pt>
                <c:pt idx="9">
                  <c:v>169.5</c:v>
                </c:pt>
                <c:pt idx="10">
                  <c:v>200</c:v>
                </c:pt>
                <c:pt idx="11">
                  <c:v>204.3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F5F4-4F87-AF6F-218DF9E89E77}"/>
            </c:ext>
          </c:extLst>
        </c:ser>
        <c:ser>
          <c:idx val="2"/>
          <c:order val="2"/>
          <c:tx>
            <c:strRef>
              <c:f>infekce!$A$92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infekce!$B$89:$M$89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infekce!$B$92:$M$92</c:f>
              <c:numCache>
                <c:formatCode>0.0</c:formatCode>
                <c:ptCount val="12"/>
                <c:pt idx="0">
                  <c:v>362.4</c:v>
                </c:pt>
                <c:pt idx="1">
                  <c:v>327</c:v>
                </c:pt>
                <c:pt idx="2">
                  <c:v>251.5</c:v>
                </c:pt>
                <c:pt idx="3">
                  <c:v>295.39999999999998</c:v>
                </c:pt>
                <c:pt idx="4">
                  <c:v>331.5</c:v>
                </c:pt>
                <c:pt idx="5">
                  <c:v>277.10000000000002</c:v>
                </c:pt>
                <c:pt idx="6">
                  <c:v>217</c:v>
                </c:pt>
                <c:pt idx="7">
                  <c:v>263.8</c:v>
                </c:pt>
                <c:pt idx="8">
                  <c:v>334</c:v>
                </c:pt>
                <c:pt idx="9">
                  <c:v>267.2</c:v>
                </c:pt>
                <c:pt idx="10">
                  <c:v>260.2</c:v>
                </c:pt>
                <c:pt idx="11">
                  <c:v>275.39999999999998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F5F4-4F87-AF6F-218DF9E89E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78384280"/>
        <c:axId val="678387808"/>
      </c:lineChart>
      <c:catAx>
        <c:axId val="678384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8387808"/>
        <c:crosses val="autoZero"/>
        <c:auto val="1"/>
        <c:lblAlgn val="ctr"/>
        <c:lblOffset val="100"/>
        <c:noMultiLvlLbl val="0"/>
      </c:catAx>
      <c:valAx>
        <c:axId val="678387808"/>
        <c:scaling>
          <c:orientation val="minMax"/>
          <c:max val="400"/>
          <c:min val="10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78384280"/>
        <c:crosses val="autoZero"/>
        <c:crossBetween val="between"/>
        <c:majorUnit val="5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2019-10-10T10:31:00Z</dcterms:created>
  <dcterms:modified xsi:type="dcterms:W3CDTF">2019-10-10T10:31:00Z</dcterms:modified>
</cp:coreProperties>
</file>